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06342" w14:textId="77777777" w:rsidR="004A7D55" w:rsidRDefault="007A4A91">
      <w:pPr>
        <w:rPr>
          <w:rFonts w:ascii="Arial" w:eastAsia="Arial" w:hAnsi="Arial" w:cs="Arial"/>
          <w:b/>
          <w:bCs/>
          <w:sz w:val="24"/>
          <w:szCs w:val="24"/>
        </w:rPr>
      </w:pPr>
      <w:r>
        <w:rPr>
          <w:rFonts w:ascii="Arial" w:eastAsia="Arial" w:hAnsi="Arial" w:cs="Arial"/>
          <w:b/>
          <w:bCs/>
          <w:sz w:val="24"/>
          <w:szCs w:val="24"/>
        </w:rPr>
        <w:t>Título: Carcinoma renal: avances en biología molecular y estrategias terapéuticas actuales</w:t>
      </w:r>
    </w:p>
    <w:p w14:paraId="62206343" w14:textId="1A7440C5" w:rsidR="004A7D55" w:rsidRDefault="007A4A91">
      <w:pPr>
        <w:rPr>
          <w:rFonts w:ascii="Arial" w:eastAsia="Arial" w:hAnsi="Arial" w:cs="Arial"/>
          <w:sz w:val="24"/>
          <w:szCs w:val="24"/>
        </w:rPr>
      </w:pPr>
      <w:r>
        <w:rPr>
          <w:rFonts w:ascii="Arial" w:eastAsia="Arial" w:hAnsi="Arial" w:cs="Arial"/>
          <w:b/>
          <w:bCs/>
          <w:sz w:val="24"/>
          <w:szCs w:val="24"/>
        </w:rPr>
        <w:t xml:space="preserve">Autores: </w:t>
      </w:r>
      <w:r>
        <w:rPr>
          <w:rFonts w:ascii="Arial" w:eastAsia="Arial" w:hAnsi="Arial" w:cs="Arial"/>
          <w:sz w:val="24"/>
          <w:szCs w:val="24"/>
        </w:rPr>
        <w:t>Sebastián Jaurretche</w:t>
      </w:r>
      <w:r>
        <w:rPr>
          <w:rFonts w:ascii="Arial" w:eastAsia="Arial" w:hAnsi="Arial" w:cs="Arial"/>
          <w:sz w:val="24"/>
          <w:szCs w:val="24"/>
          <w:vertAlign w:val="superscript"/>
        </w:rPr>
        <w:t>1,2</w:t>
      </w:r>
      <w:r>
        <w:rPr>
          <w:rFonts w:ascii="Arial" w:eastAsia="Arial" w:hAnsi="Arial" w:cs="Arial"/>
          <w:sz w:val="24"/>
          <w:szCs w:val="24"/>
        </w:rPr>
        <w:t>; Alejandro Dri</w:t>
      </w:r>
      <w:r>
        <w:rPr>
          <w:rFonts w:ascii="Arial" w:eastAsia="Arial" w:hAnsi="Arial" w:cs="Arial"/>
          <w:sz w:val="24"/>
          <w:szCs w:val="24"/>
          <w:vertAlign w:val="superscript"/>
        </w:rPr>
        <w:t>1</w:t>
      </w:r>
      <w:r>
        <w:rPr>
          <w:rFonts w:ascii="Arial" w:eastAsia="Arial" w:hAnsi="Arial" w:cs="Arial"/>
          <w:sz w:val="24"/>
          <w:szCs w:val="24"/>
        </w:rPr>
        <w:t xml:space="preserve">, </w:t>
      </w:r>
      <w:r w:rsidR="00AA7BB1">
        <w:rPr>
          <w:rFonts w:ascii="Arial" w:eastAsia="Arial" w:hAnsi="Arial" w:cs="Arial"/>
          <w:sz w:val="24"/>
          <w:szCs w:val="24"/>
        </w:rPr>
        <w:t xml:space="preserve">Ana </w:t>
      </w:r>
      <w:r w:rsidR="00AA7BB1" w:rsidRPr="00AA7BB1">
        <w:rPr>
          <w:rFonts w:ascii="Arial" w:eastAsia="Arial" w:hAnsi="Arial" w:cs="Arial"/>
          <w:sz w:val="24"/>
          <w:szCs w:val="24"/>
        </w:rPr>
        <w:t>Tulissi</w:t>
      </w:r>
      <w:r w:rsidR="00AA7BB1">
        <w:rPr>
          <w:rFonts w:ascii="Arial" w:eastAsia="Arial" w:hAnsi="Arial" w:cs="Arial"/>
          <w:sz w:val="24"/>
          <w:szCs w:val="24"/>
          <w:vertAlign w:val="superscript"/>
        </w:rPr>
        <w:t>1</w:t>
      </w:r>
      <w:r w:rsidR="00AA7BB1">
        <w:rPr>
          <w:rFonts w:ascii="Arial" w:eastAsia="Arial" w:hAnsi="Arial" w:cs="Arial"/>
          <w:sz w:val="24"/>
          <w:szCs w:val="24"/>
        </w:rPr>
        <w:t>, Ivo Orellano</w:t>
      </w:r>
      <w:r w:rsidR="00AA7BB1">
        <w:rPr>
          <w:rFonts w:ascii="Arial" w:eastAsia="Arial" w:hAnsi="Arial" w:cs="Arial"/>
          <w:sz w:val="24"/>
          <w:szCs w:val="24"/>
          <w:vertAlign w:val="superscript"/>
        </w:rPr>
        <w:t>1</w:t>
      </w:r>
      <w:r w:rsidR="00AA7BB1">
        <w:rPr>
          <w:rFonts w:ascii="Arial" w:eastAsia="Arial" w:hAnsi="Arial" w:cs="Arial"/>
          <w:sz w:val="24"/>
          <w:szCs w:val="24"/>
        </w:rPr>
        <w:t xml:space="preserve">, </w:t>
      </w:r>
      <w:r w:rsidRPr="00AA7BB1">
        <w:rPr>
          <w:rFonts w:ascii="Arial" w:eastAsia="Arial" w:hAnsi="Arial" w:cs="Arial"/>
          <w:sz w:val="24"/>
          <w:szCs w:val="24"/>
        </w:rPr>
        <w:t>Pablo</w:t>
      </w:r>
      <w:r>
        <w:rPr>
          <w:rFonts w:ascii="Arial" w:eastAsia="Arial" w:hAnsi="Arial" w:cs="Arial"/>
          <w:sz w:val="24"/>
          <w:szCs w:val="24"/>
        </w:rPr>
        <w:t xml:space="preserve"> </w:t>
      </w:r>
      <w:r w:rsidRPr="00D01602">
        <w:rPr>
          <w:rFonts w:ascii="Arial" w:eastAsia="Arial" w:hAnsi="Arial" w:cs="Arial"/>
          <w:sz w:val="24"/>
          <w:szCs w:val="24"/>
        </w:rPr>
        <w:t>Matar</w:t>
      </w:r>
      <w:r w:rsidRPr="00D01602">
        <w:rPr>
          <w:rFonts w:ascii="Arial" w:eastAsia="Arial" w:hAnsi="Arial" w:cs="Arial"/>
          <w:sz w:val="24"/>
          <w:szCs w:val="24"/>
          <w:vertAlign w:val="superscript"/>
        </w:rPr>
        <w:t>1</w:t>
      </w:r>
      <w:r w:rsidRPr="00D01602">
        <w:rPr>
          <w:rFonts w:ascii="Arial" w:eastAsia="Arial" w:hAnsi="Arial" w:cs="Arial"/>
          <w:sz w:val="24"/>
          <w:szCs w:val="24"/>
        </w:rPr>
        <w:t>,</w:t>
      </w:r>
      <w:r w:rsidR="00D01602" w:rsidRPr="00D01602">
        <w:rPr>
          <w:rFonts w:ascii="Arial" w:eastAsia="Arial" w:hAnsi="Arial" w:cs="Arial"/>
          <w:sz w:val="24"/>
          <w:szCs w:val="24"/>
        </w:rPr>
        <w:t xml:space="preserve"> </w:t>
      </w:r>
      <w:r w:rsidRPr="00D01602">
        <w:rPr>
          <w:rFonts w:ascii="Arial" w:eastAsia="Arial" w:hAnsi="Arial" w:cs="Arial"/>
          <w:sz w:val="24"/>
          <w:szCs w:val="24"/>
        </w:rPr>
        <w:t xml:space="preserve">Milagros </w:t>
      </w:r>
      <w:r>
        <w:rPr>
          <w:rFonts w:ascii="Arial" w:eastAsia="Arial" w:hAnsi="Arial" w:cs="Arial"/>
          <w:sz w:val="24"/>
          <w:szCs w:val="24"/>
          <w:highlight w:val="white"/>
        </w:rPr>
        <w:t>Boer</w:t>
      </w:r>
      <w:r>
        <w:rPr>
          <w:rFonts w:ascii="Arial" w:eastAsia="Arial" w:hAnsi="Arial" w:cs="Arial"/>
          <w:sz w:val="24"/>
          <w:szCs w:val="24"/>
          <w:highlight w:val="white"/>
          <w:vertAlign w:val="superscript"/>
        </w:rPr>
        <w:t>2</w:t>
      </w:r>
      <w:r>
        <w:rPr>
          <w:rFonts w:ascii="Arial" w:eastAsia="Arial" w:hAnsi="Arial" w:cs="Arial"/>
          <w:sz w:val="24"/>
          <w:szCs w:val="24"/>
          <w:highlight w:val="white"/>
        </w:rPr>
        <w:t xml:space="preserve">, </w:t>
      </w:r>
      <w:r>
        <w:rPr>
          <w:rFonts w:ascii="Arial" w:eastAsia="Arial" w:hAnsi="Arial" w:cs="Arial"/>
          <w:sz w:val="24"/>
          <w:szCs w:val="24"/>
        </w:rPr>
        <w:t>Martina Klein</w:t>
      </w:r>
      <w:r>
        <w:rPr>
          <w:rFonts w:ascii="Arial" w:eastAsia="Arial" w:hAnsi="Arial" w:cs="Arial"/>
          <w:sz w:val="24"/>
          <w:szCs w:val="24"/>
          <w:vertAlign w:val="superscript"/>
        </w:rPr>
        <w:t>2</w:t>
      </w:r>
      <w:r>
        <w:rPr>
          <w:rFonts w:ascii="Arial" w:eastAsia="Arial" w:hAnsi="Arial" w:cs="Arial"/>
          <w:sz w:val="24"/>
          <w:szCs w:val="24"/>
        </w:rPr>
        <w:t xml:space="preserve">, Fabio </w:t>
      </w:r>
      <w:proofErr w:type="spellStart"/>
      <w:r>
        <w:rPr>
          <w:rFonts w:ascii="Arial" w:eastAsia="Arial" w:hAnsi="Arial" w:cs="Arial"/>
          <w:sz w:val="24"/>
          <w:szCs w:val="24"/>
        </w:rPr>
        <w:t>Sanchez</w:t>
      </w:r>
      <w:proofErr w:type="spellEnd"/>
      <w:r>
        <w:rPr>
          <w:rFonts w:ascii="Arial" w:eastAsia="Arial" w:hAnsi="Arial" w:cs="Arial"/>
          <w:sz w:val="24"/>
          <w:szCs w:val="24"/>
        </w:rPr>
        <w:t xml:space="preserve"> Mazzaferri</w:t>
      </w:r>
      <w:r>
        <w:rPr>
          <w:rFonts w:ascii="Arial" w:eastAsia="Arial" w:hAnsi="Arial" w:cs="Arial"/>
          <w:sz w:val="24"/>
          <w:szCs w:val="24"/>
          <w:vertAlign w:val="superscript"/>
        </w:rPr>
        <w:t>1</w:t>
      </w:r>
      <w:r>
        <w:rPr>
          <w:rFonts w:ascii="Arial" w:eastAsia="Arial" w:hAnsi="Arial" w:cs="Arial"/>
          <w:sz w:val="24"/>
          <w:szCs w:val="24"/>
        </w:rPr>
        <w:t>.</w:t>
      </w:r>
    </w:p>
    <w:p w14:paraId="62206344" w14:textId="701EB6F5" w:rsidR="004A7D55" w:rsidRDefault="007A4A91">
      <w:pPr>
        <w:numPr>
          <w:ilvl w:val="0"/>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Uro-</w:t>
      </w:r>
      <w:proofErr w:type="spellStart"/>
      <w:r>
        <w:rPr>
          <w:rFonts w:ascii="Arial" w:eastAsia="Arial" w:hAnsi="Arial" w:cs="Arial"/>
          <w:color w:val="000000"/>
          <w:sz w:val="24"/>
          <w:szCs w:val="24"/>
        </w:rPr>
        <w:t>Onco</w:t>
      </w:r>
      <w:proofErr w:type="spellEnd"/>
      <w:r>
        <w:rPr>
          <w:rFonts w:ascii="Arial" w:eastAsia="Arial" w:hAnsi="Arial" w:cs="Arial"/>
          <w:color w:val="000000"/>
          <w:sz w:val="24"/>
          <w:szCs w:val="24"/>
        </w:rPr>
        <w:t>-Nefrología. Sanatorio Parque – Grupo Oroño. Rosario. Argentina</w:t>
      </w:r>
    </w:p>
    <w:p w14:paraId="62206345" w14:textId="77777777" w:rsidR="004A7D55" w:rsidRDefault="007A4A91">
      <w:pPr>
        <w:numPr>
          <w:ilvl w:val="0"/>
          <w:numId w:val="1"/>
        </w:numPr>
        <w:pBdr>
          <w:top w:val="nil"/>
          <w:left w:val="nil"/>
          <w:bottom w:val="nil"/>
          <w:right w:val="nil"/>
          <w:between w:val="nil"/>
        </w:pBdr>
        <w:rPr>
          <w:rFonts w:ascii="Arial" w:eastAsia="Arial" w:hAnsi="Arial" w:cs="Arial"/>
          <w:color w:val="000000"/>
          <w:sz w:val="24"/>
          <w:szCs w:val="24"/>
        </w:rPr>
      </w:pPr>
      <w:proofErr w:type="spellStart"/>
      <w:r>
        <w:rPr>
          <w:rFonts w:ascii="Arial" w:eastAsia="Arial" w:hAnsi="Arial" w:cs="Arial"/>
          <w:color w:val="000000"/>
          <w:sz w:val="24"/>
          <w:szCs w:val="24"/>
        </w:rPr>
        <w:t>Biofisica</w:t>
      </w:r>
      <w:proofErr w:type="spellEnd"/>
      <w:r>
        <w:rPr>
          <w:rFonts w:ascii="Arial" w:eastAsia="Arial" w:hAnsi="Arial" w:cs="Arial"/>
          <w:color w:val="000000"/>
          <w:sz w:val="24"/>
          <w:szCs w:val="24"/>
        </w:rPr>
        <w:t xml:space="preserve"> y Fisiología Humana. Instituto Universitario Italiano de Rosario. Rosario Argentina.</w:t>
      </w:r>
    </w:p>
    <w:p w14:paraId="62206346" w14:textId="77777777" w:rsidR="004A7D55" w:rsidRDefault="007A4A91">
      <w:pPr>
        <w:rPr>
          <w:rFonts w:ascii="Arial" w:eastAsia="Arial" w:hAnsi="Arial" w:cs="Arial"/>
          <w:sz w:val="24"/>
          <w:szCs w:val="24"/>
        </w:rPr>
      </w:pPr>
      <w:r>
        <w:rPr>
          <w:rFonts w:ascii="Arial" w:eastAsia="Arial" w:hAnsi="Arial" w:cs="Arial"/>
          <w:b/>
          <w:bCs/>
          <w:sz w:val="24"/>
          <w:szCs w:val="24"/>
        </w:rPr>
        <w:t>Autor de correspondencia:</w:t>
      </w:r>
      <w:r>
        <w:rPr>
          <w:rFonts w:ascii="Arial" w:eastAsia="Arial" w:hAnsi="Arial" w:cs="Arial"/>
          <w:sz w:val="24"/>
          <w:szCs w:val="24"/>
        </w:rPr>
        <w:t xml:space="preserve"> Sebastián Jaurretche. Oroño 1024. (2000). Rosario. Santa Fe. Argentina. E-mail: sebastianjaurretche5@gmail.com</w:t>
      </w:r>
    </w:p>
    <w:p w14:paraId="62206347" w14:textId="77777777" w:rsidR="004A7D55" w:rsidRDefault="004A7D55">
      <w:pPr>
        <w:rPr>
          <w:rFonts w:ascii="Arial" w:eastAsia="Arial" w:hAnsi="Arial" w:cs="Arial"/>
          <w:b/>
          <w:bCs/>
          <w:sz w:val="24"/>
          <w:szCs w:val="24"/>
        </w:rPr>
      </w:pPr>
    </w:p>
    <w:p w14:paraId="62206348" w14:textId="77777777" w:rsidR="004A7D55" w:rsidRDefault="004A7D55">
      <w:pPr>
        <w:rPr>
          <w:rFonts w:ascii="Arial" w:eastAsia="Arial" w:hAnsi="Arial" w:cs="Arial"/>
          <w:b/>
          <w:bCs/>
          <w:sz w:val="24"/>
          <w:szCs w:val="24"/>
        </w:rPr>
      </w:pPr>
    </w:p>
    <w:p w14:paraId="62206349" w14:textId="77777777" w:rsidR="004A7D55" w:rsidRDefault="004A7D55">
      <w:pPr>
        <w:rPr>
          <w:rFonts w:ascii="Arial" w:eastAsia="Arial" w:hAnsi="Arial" w:cs="Arial"/>
          <w:b/>
          <w:bCs/>
          <w:sz w:val="24"/>
          <w:szCs w:val="24"/>
        </w:rPr>
      </w:pPr>
    </w:p>
    <w:p w14:paraId="6220634A" w14:textId="77777777" w:rsidR="004A7D55" w:rsidRDefault="004A7D55">
      <w:pPr>
        <w:rPr>
          <w:rFonts w:ascii="Arial" w:eastAsia="Arial" w:hAnsi="Arial" w:cs="Arial"/>
          <w:b/>
          <w:bCs/>
          <w:sz w:val="24"/>
          <w:szCs w:val="24"/>
        </w:rPr>
      </w:pPr>
    </w:p>
    <w:p w14:paraId="6220634B" w14:textId="77777777" w:rsidR="004A7D55" w:rsidRDefault="004A7D55">
      <w:pPr>
        <w:rPr>
          <w:rFonts w:ascii="Arial" w:eastAsia="Arial" w:hAnsi="Arial" w:cs="Arial"/>
          <w:b/>
          <w:bCs/>
          <w:sz w:val="24"/>
          <w:szCs w:val="24"/>
        </w:rPr>
      </w:pPr>
    </w:p>
    <w:p w14:paraId="6220634C" w14:textId="77777777" w:rsidR="004A7D55" w:rsidRDefault="004A7D55">
      <w:pPr>
        <w:rPr>
          <w:rFonts w:ascii="Arial" w:eastAsia="Arial" w:hAnsi="Arial" w:cs="Arial"/>
          <w:b/>
          <w:bCs/>
          <w:sz w:val="24"/>
          <w:szCs w:val="24"/>
        </w:rPr>
      </w:pPr>
    </w:p>
    <w:p w14:paraId="6220634D" w14:textId="77777777" w:rsidR="004A7D55" w:rsidRDefault="004A7D55">
      <w:pPr>
        <w:rPr>
          <w:rFonts w:ascii="Arial" w:eastAsia="Arial" w:hAnsi="Arial" w:cs="Arial"/>
          <w:b/>
          <w:bCs/>
          <w:sz w:val="24"/>
          <w:szCs w:val="24"/>
        </w:rPr>
      </w:pPr>
    </w:p>
    <w:p w14:paraId="6220634E" w14:textId="77777777" w:rsidR="004A7D55" w:rsidRDefault="004A7D55">
      <w:pPr>
        <w:rPr>
          <w:rFonts w:ascii="Arial" w:eastAsia="Arial" w:hAnsi="Arial" w:cs="Arial"/>
          <w:b/>
          <w:bCs/>
          <w:sz w:val="24"/>
          <w:szCs w:val="24"/>
        </w:rPr>
      </w:pPr>
    </w:p>
    <w:p w14:paraId="6220634F" w14:textId="77777777" w:rsidR="004A7D55" w:rsidRDefault="004A7D55">
      <w:pPr>
        <w:rPr>
          <w:rFonts w:ascii="Arial" w:eastAsia="Arial" w:hAnsi="Arial" w:cs="Arial"/>
          <w:b/>
          <w:bCs/>
          <w:sz w:val="24"/>
          <w:szCs w:val="24"/>
        </w:rPr>
      </w:pPr>
    </w:p>
    <w:p w14:paraId="62206350" w14:textId="77777777" w:rsidR="004A7D55" w:rsidRDefault="004A7D55">
      <w:pPr>
        <w:rPr>
          <w:rFonts w:ascii="Arial" w:eastAsia="Arial" w:hAnsi="Arial" w:cs="Arial"/>
          <w:b/>
          <w:bCs/>
          <w:sz w:val="24"/>
          <w:szCs w:val="24"/>
        </w:rPr>
      </w:pPr>
    </w:p>
    <w:p w14:paraId="62206351" w14:textId="77777777" w:rsidR="004A7D55" w:rsidRDefault="004A7D55">
      <w:pPr>
        <w:rPr>
          <w:rFonts w:ascii="Arial" w:eastAsia="Arial" w:hAnsi="Arial" w:cs="Arial"/>
          <w:b/>
          <w:bCs/>
          <w:sz w:val="24"/>
          <w:szCs w:val="24"/>
        </w:rPr>
      </w:pPr>
    </w:p>
    <w:p w14:paraId="62206352" w14:textId="77777777" w:rsidR="004A7D55" w:rsidRDefault="004A7D55">
      <w:pPr>
        <w:rPr>
          <w:rFonts w:ascii="Arial" w:eastAsia="Arial" w:hAnsi="Arial" w:cs="Arial"/>
          <w:b/>
          <w:bCs/>
          <w:sz w:val="24"/>
          <w:szCs w:val="24"/>
        </w:rPr>
      </w:pPr>
    </w:p>
    <w:p w14:paraId="62206353" w14:textId="77777777" w:rsidR="004A7D55" w:rsidRDefault="004A7D55">
      <w:pPr>
        <w:rPr>
          <w:rFonts w:ascii="Arial" w:eastAsia="Arial" w:hAnsi="Arial" w:cs="Arial"/>
          <w:b/>
          <w:bCs/>
          <w:sz w:val="24"/>
          <w:szCs w:val="24"/>
        </w:rPr>
      </w:pPr>
    </w:p>
    <w:p w14:paraId="62206354" w14:textId="77777777" w:rsidR="004A7D55" w:rsidRDefault="004A7D55">
      <w:pPr>
        <w:rPr>
          <w:rFonts w:ascii="Arial" w:eastAsia="Arial" w:hAnsi="Arial" w:cs="Arial"/>
          <w:b/>
          <w:bCs/>
          <w:sz w:val="24"/>
          <w:szCs w:val="24"/>
        </w:rPr>
      </w:pPr>
    </w:p>
    <w:p w14:paraId="62206355" w14:textId="77777777" w:rsidR="004A7D55" w:rsidRDefault="004A7D55">
      <w:pPr>
        <w:rPr>
          <w:rFonts w:ascii="Arial" w:eastAsia="Arial" w:hAnsi="Arial" w:cs="Arial"/>
          <w:b/>
          <w:bCs/>
          <w:sz w:val="24"/>
          <w:szCs w:val="24"/>
        </w:rPr>
      </w:pPr>
    </w:p>
    <w:p w14:paraId="62206356" w14:textId="77777777" w:rsidR="004A7D55" w:rsidRDefault="004A7D55">
      <w:pPr>
        <w:rPr>
          <w:rFonts w:ascii="Arial" w:eastAsia="Arial" w:hAnsi="Arial" w:cs="Arial"/>
          <w:b/>
          <w:bCs/>
          <w:sz w:val="24"/>
          <w:szCs w:val="24"/>
        </w:rPr>
      </w:pPr>
    </w:p>
    <w:p w14:paraId="62206357" w14:textId="77777777" w:rsidR="004A7D55" w:rsidRDefault="004A7D55">
      <w:pPr>
        <w:rPr>
          <w:rFonts w:ascii="Arial" w:eastAsia="Arial" w:hAnsi="Arial" w:cs="Arial"/>
          <w:b/>
          <w:bCs/>
          <w:sz w:val="24"/>
          <w:szCs w:val="24"/>
        </w:rPr>
      </w:pPr>
    </w:p>
    <w:p w14:paraId="62206358" w14:textId="77777777" w:rsidR="004A7D55" w:rsidRDefault="004A7D55">
      <w:pPr>
        <w:rPr>
          <w:rFonts w:ascii="Arial" w:eastAsia="Arial" w:hAnsi="Arial" w:cs="Arial"/>
          <w:b/>
          <w:bCs/>
          <w:sz w:val="24"/>
          <w:szCs w:val="24"/>
        </w:rPr>
      </w:pPr>
    </w:p>
    <w:p w14:paraId="62206359" w14:textId="77777777" w:rsidR="004A7D55" w:rsidRDefault="004A7D55">
      <w:pPr>
        <w:rPr>
          <w:rFonts w:ascii="Arial" w:eastAsia="Arial" w:hAnsi="Arial" w:cs="Arial"/>
          <w:b/>
          <w:bCs/>
          <w:sz w:val="24"/>
          <w:szCs w:val="24"/>
        </w:rPr>
      </w:pPr>
    </w:p>
    <w:p w14:paraId="6220635A" w14:textId="77777777" w:rsidR="004A7D55" w:rsidRDefault="004A7D55">
      <w:pPr>
        <w:rPr>
          <w:rFonts w:ascii="Arial" w:eastAsia="Arial" w:hAnsi="Arial" w:cs="Arial"/>
          <w:b/>
          <w:bCs/>
          <w:sz w:val="24"/>
          <w:szCs w:val="24"/>
        </w:rPr>
      </w:pPr>
    </w:p>
    <w:p w14:paraId="7C2E73A0" w14:textId="77777777" w:rsidR="00D87CBD" w:rsidRDefault="00D87CBD">
      <w:pPr>
        <w:rPr>
          <w:rFonts w:ascii="Arial" w:eastAsia="Arial" w:hAnsi="Arial" w:cs="Arial"/>
          <w:b/>
          <w:bCs/>
          <w:sz w:val="24"/>
          <w:szCs w:val="24"/>
        </w:rPr>
      </w:pPr>
    </w:p>
    <w:p w14:paraId="6220635B" w14:textId="77777777" w:rsidR="004A7D55" w:rsidRDefault="007A4A91">
      <w:pPr>
        <w:rPr>
          <w:rFonts w:ascii="Arial" w:eastAsia="Arial" w:hAnsi="Arial" w:cs="Arial"/>
          <w:b/>
          <w:bCs/>
          <w:sz w:val="24"/>
          <w:szCs w:val="24"/>
        </w:rPr>
      </w:pPr>
      <w:r>
        <w:rPr>
          <w:rFonts w:ascii="Arial" w:eastAsia="Arial" w:hAnsi="Arial" w:cs="Arial"/>
          <w:b/>
          <w:bCs/>
          <w:sz w:val="24"/>
          <w:szCs w:val="24"/>
        </w:rPr>
        <w:lastRenderedPageBreak/>
        <w:t>Resumen</w:t>
      </w:r>
    </w:p>
    <w:p w14:paraId="6220635C" w14:textId="77777777" w:rsidR="004A7D55" w:rsidRDefault="007A4A91">
      <w:pPr>
        <w:rPr>
          <w:rFonts w:ascii="Arial" w:eastAsia="Arial" w:hAnsi="Arial" w:cs="Arial"/>
          <w:sz w:val="24"/>
          <w:szCs w:val="24"/>
        </w:rPr>
      </w:pPr>
      <w:r>
        <w:rPr>
          <w:rFonts w:ascii="Arial" w:eastAsia="Arial" w:hAnsi="Arial" w:cs="Arial"/>
          <w:sz w:val="24"/>
          <w:szCs w:val="24"/>
        </w:rPr>
        <w:t>El carcinoma de células renales (CCR) representa el tumor maligno más frecuente del riñón y constituye aproximadamente el 2–3% de todas las neoplasias del adulto. En las últimas décadas, los avances en la comprensión de la biología molecular de esta enfermedad han permitido identificar alteraciones genéticas recurrentes que afectan vías clave relacionadas con la angiogénesis, el metabolismo celular y la regulación epigenética. Entre las alteraciones más relevantes se encuentran las mutaciones en el gen VHL,</w:t>
      </w:r>
      <w:r>
        <w:rPr>
          <w:rFonts w:ascii="Arial" w:eastAsia="Arial" w:hAnsi="Arial" w:cs="Arial"/>
          <w:sz w:val="24"/>
          <w:szCs w:val="24"/>
        </w:rPr>
        <w:t xml:space="preserve"> así como en genes de remodelación </w:t>
      </w:r>
      <w:proofErr w:type="spellStart"/>
      <w:r>
        <w:rPr>
          <w:rFonts w:ascii="Arial" w:eastAsia="Arial" w:hAnsi="Arial" w:cs="Arial"/>
          <w:sz w:val="24"/>
          <w:szCs w:val="24"/>
        </w:rPr>
        <w:t>cromatínica</w:t>
      </w:r>
      <w:proofErr w:type="spellEnd"/>
      <w:r>
        <w:rPr>
          <w:rFonts w:ascii="Arial" w:eastAsia="Arial" w:hAnsi="Arial" w:cs="Arial"/>
          <w:sz w:val="24"/>
          <w:szCs w:val="24"/>
        </w:rPr>
        <w:t xml:space="preserve"> como PBRM1, BAP1 y SETD2, que desempeñan un papel central en la patogénesis del carcinoma renal de células claras.</w:t>
      </w:r>
    </w:p>
    <w:p w14:paraId="6220635D" w14:textId="77777777" w:rsidR="004A7D55" w:rsidRDefault="007A4A91">
      <w:pPr>
        <w:rPr>
          <w:rFonts w:ascii="Arial" w:eastAsia="Arial" w:hAnsi="Arial" w:cs="Arial"/>
          <w:sz w:val="24"/>
          <w:szCs w:val="24"/>
        </w:rPr>
      </w:pPr>
      <w:r>
        <w:rPr>
          <w:rFonts w:ascii="Arial" w:eastAsia="Arial" w:hAnsi="Arial" w:cs="Arial"/>
          <w:sz w:val="24"/>
          <w:szCs w:val="24"/>
        </w:rPr>
        <w:t>Estos avances han tenido un impacto directo en el desarrollo de nuevas estrategias terapéuticas. En particular, la introducción de inhibidores de puntos de control inmunológico y su combinación con inhibidores de tirosina quinasa dirigidos contra la vía del VEGF ha transformado el tratamiento del carcinoma renal metastásico, logrando mejoras significativas en supervivencia global, supervivencia libre de progresión y tasas de respuesta objetiva en comparación con las terapias previamente disponibles.</w:t>
      </w:r>
    </w:p>
    <w:p w14:paraId="6220635E" w14:textId="77777777" w:rsidR="004A7D55" w:rsidRDefault="007A4A91">
      <w:pPr>
        <w:rPr>
          <w:rFonts w:ascii="Arial" w:eastAsia="Arial" w:hAnsi="Arial" w:cs="Arial"/>
          <w:sz w:val="24"/>
          <w:szCs w:val="24"/>
        </w:rPr>
      </w:pPr>
      <w:r>
        <w:rPr>
          <w:rFonts w:ascii="Arial" w:eastAsia="Arial" w:hAnsi="Arial" w:cs="Arial"/>
          <w:sz w:val="24"/>
          <w:szCs w:val="24"/>
        </w:rPr>
        <w:t>En esta revisión se sintetizan los avances recientes en la biología molecular del carcinoma renal, los principales estudios clínicos que han definido el estándar terapéutico actual y las perspectivas futuras en el manejo de esta enfermedad, con énfasis en su relevancia para la práctica clínica.</w:t>
      </w:r>
    </w:p>
    <w:p w14:paraId="6220635F" w14:textId="77777777" w:rsidR="004A7D55" w:rsidRDefault="007A4A91">
      <w:pPr>
        <w:rPr>
          <w:rFonts w:ascii="Arial" w:eastAsia="Arial" w:hAnsi="Arial" w:cs="Arial"/>
          <w:b/>
          <w:bCs/>
          <w:sz w:val="24"/>
          <w:szCs w:val="24"/>
        </w:rPr>
      </w:pPr>
      <w:r>
        <w:rPr>
          <w:rFonts w:ascii="Arial" w:eastAsia="Arial" w:hAnsi="Arial" w:cs="Arial"/>
          <w:b/>
          <w:bCs/>
          <w:sz w:val="24"/>
          <w:szCs w:val="24"/>
        </w:rPr>
        <w:t xml:space="preserve">Palabras clave: </w:t>
      </w:r>
      <w:r>
        <w:rPr>
          <w:rFonts w:ascii="Arial" w:eastAsia="Arial" w:hAnsi="Arial" w:cs="Arial"/>
          <w:sz w:val="24"/>
          <w:szCs w:val="24"/>
        </w:rPr>
        <w:t>Carcinoma de células renales; carcinoma renal de células claras; inmunoterapia; terapias dirigidas; angiogénesis; medicina de precisión</w:t>
      </w:r>
    </w:p>
    <w:p w14:paraId="62206360" w14:textId="77777777" w:rsidR="004A7D55" w:rsidRDefault="004A7D55">
      <w:pPr>
        <w:rPr>
          <w:rFonts w:ascii="Arial" w:eastAsia="Arial" w:hAnsi="Arial" w:cs="Arial"/>
          <w:b/>
          <w:bCs/>
          <w:sz w:val="24"/>
          <w:szCs w:val="24"/>
        </w:rPr>
      </w:pPr>
    </w:p>
    <w:p w14:paraId="62206361" w14:textId="77777777" w:rsidR="004A7D55" w:rsidRDefault="004A7D55">
      <w:pPr>
        <w:rPr>
          <w:rFonts w:ascii="Arial" w:eastAsia="Arial" w:hAnsi="Arial" w:cs="Arial"/>
          <w:b/>
          <w:bCs/>
          <w:sz w:val="24"/>
          <w:szCs w:val="24"/>
        </w:rPr>
      </w:pPr>
    </w:p>
    <w:p w14:paraId="62206362" w14:textId="77777777" w:rsidR="004A7D55" w:rsidRDefault="004A7D55">
      <w:pPr>
        <w:rPr>
          <w:rFonts w:ascii="Arial" w:eastAsia="Arial" w:hAnsi="Arial" w:cs="Arial"/>
          <w:b/>
          <w:bCs/>
          <w:sz w:val="24"/>
          <w:szCs w:val="24"/>
        </w:rPr>
      </w:pPr>
    </w:p>
    <w:p w14:paraId="62206363" w14:textId="77777777" w:rsidR="004A7D55" w:rsidRDefault="004A7D55">
      <w:pPr>
        <w:rPr>
          <w:rFonts w:ascii="Arial" w:eastAsia="Arial" w:hAnsi="Arial" w:cs="Arial"/>
          <w:b/>
          <w:bCs/>
          <w:sz w:val="24"/>
          <w:szCs w:val="24"/>
        </w:rPr>
      </w:pPr>
    </w:p>
    <w:p w14:paraId="62206364" w14:textId="77777777" w:rsidR="004A7D55" w:rsidRDefault="004A7D55">
      <w:pPr>
        <w:rPr>
          <w:rFonts w:ascii="Arial" w:eastAsia="Arial" w:hAnsi="Arial" w:cs="Arial"/>
          <w:b/>
          <w:bCs/>
          <w:sz w:val="24"/>
          <w:szCs w:val="24"/>
        </w:rPr>
      </w:pPr>
    </w:p>
    <w:p w14:paraId="62206365" w14:textId="77777777" w:rsidR="004A7D55" w:rsidRDefault="004A7D55">
      <w:pPr>
        <w:rPr>
          <w:rFonts w:ascii="Arial" w:eastAsia="Arial" w:hAnsi="Arial" w:cs="Arial"/>
          <w:b/>
          <w:bCs/>
          <w:sz w:val="24"/>
          <w:szCs w:val="24"/>
        </w:rPr>
      </w:pPr>
    </w:p>
    <w:p w14:paraId="62206366" w14:textId="77777777" w:rsidR="004A7D55" w:rsidRDefault="004A7D55">
      <w:pPr>
        <w:rPr>
          <w:rFonts w:ascii="Arial" w:eastAsia="Arial" w:hAnsi="Arial" w:cs="Arial"/>
          <w:b/>
          <w:bCs/>
          <w:sz w:val="24"/>
          <w:szCs w:val="24"/>
        </w:rPr>
      </w:pPr>
    </w:p>
    <w:p w14:paraId="62206367" w14:textId="77777777" w:rsidR="004A7D55" w:rsidRDefault="004A7D55">
      <w:pPr>
        <w:rPr>
          <w:rFonts w:ascii="Arial" w:eastAsia="Arial" w:hAnsi="Arial" w:cs="Arial"/>
          <w:b/>
          <w:bCs/>
          <w:sz w:val="24"/>
          <w:szCs w:val="24"/>
        </w:rPr>
      </w:pPr>
    </w:p>
    <w:p w14:paraId="62206368" w14:textId="77777777" w:rsidR="004A7D55" w:rsidRDefault="004A7D55">
      <w:pPr>
        <w:rPr>
          <w:rFonts w:ascii="Arial" w:eastAsia="Arial" w:hAnsi="Arial" w:cs="Arial"/>
          <w:b/>
          <w:bCs/>
          <w:sz w:val="24"/>
          <w:szCs w:val="24"/>
        </w:rPr>
      </w:pPr>
    </w:p>
    <w:p w14:paraId="62206369" w14:textId="77777777" w:rsidR="004A7D55" w:rsidRDefault="004A7D55">
      <w:pPr>
        <w:rPr>
          <w:rFonts w:ascii="Arial" w:eastAsia="Arial" w:hAnsi="Arial" w:cs="Arial"/>
          <w:b/>
          <w:bCs/>
          <w:sz w:val="24"/>
          <w:szCs w:val="24"/>
        </w:rPr>
      </w:pPr>
    </w:p>
    <w:p w14:paraId="6220636A" w14:textId="77777777" w:rsidR="004A7D55" w:rsidRDefault="004A7D55">
      <w:pPr>
        <w:rPr>
          <w:rFonts w:ascii="Arial" w:eastAsia="Arial" w:hAnsi="Arial" w:cs="Arial"/>
          <w:b/>
          <w:bCs/>
          <w:sz w:val="24"/>
          <w:szCs w:val="24"/>
        </w:rPr>
      </w:pPr>
    </w:p>
    <w:p w14:paraId="6220636B" w14:textId="77777777" w:rsidR="004A7D55" w:rsidRDefault="004A7D55">
      <w:pPr>
        <w:rPr>
          <w:rFonts w:ascii="Arial" w:eastAsia="Arial" w:hAnsi="Arial" w:cs="Arial"/>
          <w:b/>
          <w:bCs/>
          <w:sz w:val="24"/>
          <w:szCs w:val="24"/>
        </w:rPr>
      </w:pPr>
    </w:p>
    <w:p w14:paraId="6220636C" w14:textId="77777777" w:rsidR="004A7D55" w:rsidRPr="0015514C" w:rsidRDefault="007A4A91">
      <w:pPr>
        <w:rPr>
          <w:rFonts w:ascii="Arial" w:eastAsia="Arial" w:hAnsi="Arial" w:cs="Arial"/>
          <w:b/>
          <w:bCs/>
          <w:sz w:val="24"/>
          <w:szCs w:val="24"/>
          <w:lang w:val="en-US"/>
        </w:rPr>
      </w:pPr>
      <w:r w:rsidRPr="0015514C">
        <w:rPr>
          <w:rFonts w:ascii="Arial" w:eastAsia="Arial" w:hAnsi="Arial" w:cs="Arial"/>
          <w:b/>
          <w:bCs/>
          <w:sz w:val="24"/>
          <w:szCs w:val="24"/>
          <w:lang w:val="en-US"/>
        </w:rPr>
        <w:lastRenderedPageBreak/>
        <w:t>Abstract</w:t>
      </w:r>
    </w:p>
    <w:p w14:paraId="6220636D" w14:textId="77777777" w:rsidR="004A7D55" w:rsidRPr="0015514C" w:rsidRDefault="007A4A91">
      <w:pPr>
        <w:rPr>
          <w:rFonts w:ascii="Arial" w:eastAsia="Arial" w:hAnsi="Arial" w:cs="Arial"/>
          <w:sz w:val="24"/>
          <w:szCs w:val="24"/>
          <w:lang w:val="en-US"/>
        </w:rPr>
      </w:pPr>
      <w:r w:rsidRPr="0015514C">
        <w:rPr>
          <w:rFonts w:ascii="Arial" w:eastAsia="Arial" w:hAnsi="Arial" w:cs="Arial"/>
          <w:sz w:val="24"/>
          <w:szCs w:val="24"/>
          <w:lang w:val="en-US"/>
        </w:rPr>
        <w:t>Renal cell carcinoma (RCC) is the most common malignant tumor of the kidney and accounts for approximately 2–3% of all adult malignancies. Over the past decades, advances in the understanding of the molecular biology of RCC have led to the identification of recurrent genetic alterations affecting key pathways involved in angiogenesis, cellular metabolism, and epigenetic regulation. Among these alterations, mutations in the VHL gene and in chromatin-remodeling genes such as PBRM1, BAP1, and SETD2 play a cent</w:t>
      </w:r>
      <w:r w:rsidRPr="0015514C">
        <w:rPr>
          <w:rFonts w:ascii="Arial" w:eastAsia="Arial" w:hAnsi="Arial" w:cs="Arial"/>
          <w:sz w:val="24"/>
          <w:szCs w:val="24"/>
          <w:lang w:val="en-US"/>
        </w:rPr>
        <w:t>ral role in the pathogenesis of clear cell renal cell carcinoma.</w:t>
      </w:r>
    </w:p>
    <w:p w14:paraId="6220636E" w14:textId="77777777" w:rsidR="004A7D55" w:rsidRPr="0015514C" w:rsidRDefault="007A4A91">
      <w:pPr>
        <w:rPr>
          <w:rFonts w:ascii="Arial" w:eastAsia="Arial" w:hAnsi="Arial" w:cs="Arial"/>
          <w:sz w:val="24"/>
          <w:szCs w:val="24"/>
          <w:lang w:val="en-US"/>
        </w:rPr>
      </w:pPr>
      <w:r w:rsidRPr="0015514C">
        <w:rPr>
          <w:rFonts w:ascii="Arial" w:eastAsia="Arial" w:hAnsi="Arial" w:cs="Arial"/>
          <w:sz w:val="24"/>
          <w:szCs w:val="24"/>
          <w:lang w:val="en-US"/>
        </w:rPr>
        <w:t xml:space="preserve">These discoveries have had a direct impact on the development of novel therapeutic strategies. In particular, the introduction of immune checkpoint inhibitors and their combination with tyrosine kinase inhibitors targeting the VEGF pathway </w:t>
      </w:r>
      <w:proofErr w:type="gramStart"/>
      <w:r w:rsidRPr="0015514C">
        <w:rPr>
          <w:rFonts w:ascii="Arial" w:eastAsia="Arial" w:hAnsi="Arial" w:cs="Arial"/>
          <w:sz w:val="24"/>
          <w:szCs w:val="24"/>
          <w:lang w:val="en-US"/>
        </w:rPr>
        <w:t>has</w:t>
      </w:r>
      <w:proofErr w:type="gramEnd"/>
      <w:r w:rsidRPr="0015514C">
        <w:rPr>
          <w:rFonts w:ascii="Arial" w:eastAsia="Arial" w:hAnsi="Arial" w:cs="Arial"/>
          <w:sz w:val="24"/>
          <w:szCs w:val="24"/>
          <w:lang w:val="en-US"/>
        </w:rPr>
        <w:t xml:space="preserve"> transformed the treatment landscape of metastatic RCC, leading to significant improvements in overall survival, progression-free survival, and objective response rates compared with previously available therapies.</w:t>
      </w:r>
    </w:p>
    <w:p w14:paraId="6220636F" w14:textId="77777777" w:rsidR="004A7D55" w:rsidRPr="0015514C" w:rsidRDefault="007A4A91">
      <w:pPr>
        <w:rPr>
          <w:rFonts w:ascii="Arial" w:eastAsia="Arial" w:hAnsi="Arial" w:cs="Arial"/>
          <w:sz w:val="24"/>
          <w:szCs w:val="24"/>
          <w:lang w:val="en-US"/>
        </w:rPr>
      </w:pPr>
      <w:r w:rsidRPr="0015514C">
        <w:rPr>
          <w:rFonts w:ascii="Arial" w:eastAsia="Arial" w:hAnsi="Arial" w:cs="Arial"/>
          <w:sz w:val="24"/>
          <w:szCs w:val="24"/>
          <w:lang w:val="en-US"/>
        </w:rPr>
        <w:t>This review summarizes recent advances in the molecular biology of RCC, the pivotal clinical trials that have defined current therapeutic standards, and future perspectives in the management of this disease, with emphasis on their relevance for clinical practice.</w:t>
      </w:r>
    </w:p>
    <w:p w14:paraId="62206370" w14:textId="77777777" w:rsidR="004A7D55" w:rsidRPr="0015514C" w:rsidRDefault="004A7D55">
      <w:pPr>
        <w:rPr>
          <w:rFonts w:ascii="Arial" w:eastAsia="Arial" w:hAnsi="Arial" w:cs="Arial"/>
          <w:b/>
          <w:bCs/>
          <w:sz w:val="24"/>
          <w:szCs w:val="24"/>
          <w:lang w:val="en-US"/>
        </w:rPr>
      </w:pPr>
    </w:p>
    <w:p w14:paraId="62206371" w14:textId="77777777" w:rsidR="004A7D55" w:rsidRPr="0015514C" w:rsidRDefault="007A4A91">
      <w:pPr>
        <w:rPr>
          <w:rFonts w:ascii="Arial" w:eastAsia="Arial" w:hAnsi="Arial" w:cs="Arial"/>
          <w:b/>
          <w:bCs/>
          <w:sz w:val="24"/>
          <w:szCs w:val="24"/>
          <w:lang w:val="en-US"/>
        </w:rPr>
      </w:pPr>
      <w:r w:rsidRPr="0015514C">
        <w:rPr>
          <w:rFonts w:ascii="Arial" w:eastAsia="Arial" w:hAnsi="Arial" w:cs="Arial"/>
          <w:b/>
          <w:bCs/>
          <w:sz w:val="24"/>
          <w:szCs w:val="24"/>
          <w:lang w:val="en-US"/>
        </w:rPr>
        <w:t xml:space="preserve">Keywords: </w:t>
      </w:r>
      <w:r w:rsidRPr="0015514C">
        <w:rPr>
          <w:rFonts w:ascii="Arial" w:eastAsia="Arial" w:hAnsi="Arial" w:cs="Arial"/>
          <w:sz w:val="24"/>
          <w:szCs w:val="24"/>
          <w:lang w:val="en-US"/>
        </w:rPr>
        <w:t>Renal cell carcinoma; clear cell renal cell carcinoma; immunotherapy; tyrosine kinase inhibitors; tumor angiogenesis; precision medicine</w:t>
      </w:r>
    </w:p>
    <w:p w14:paraId="62206372" w14:textId="77777777" w:rsidR="004A7D55" w:rsidRPr="0015514C" w:rsidRDefault="004A7D55">
      <w:pPr>
        <w:rPr>
          <w:rFonts w:ascii="Arial" w:eastAsia="Arial" w:hAnsi="Arial" w:cs="Arial"/>
          <w:b/>
          <w:bCs/>
          <w:sz w:val="24"/>
          <w:szCs w:val="24"/>
          <w:lang w:val="en-US"/>
        </w:rPr>
      </w:pPr>
    </w:p>
    <w:p w14:paraId="62206373" w14:textId="77777777" w:rsidR="004A7D55" w:rsidRPr="0015514C" w:rsidRDefault="004A7D55">
      <w:pPr>
        <w:rPr>
          <w:rFonts w:ascii="Arial" w:eastAsia="Arial" w:hAnsi="Arial" w:cs="Arial"/>
          <w:b/>
          <w:bCs/>
          <w:sz w:val="24"/>
          <w:szCs w:val="24"/>
          <w:lang w:val="en-US"/>
        </w:rPr>
      </w:pPr>
    </w:p>
    <w:p w14:paraId="62206374" w14:textId="77777777" w:rsidR="004A7D55" w:rsidRPr="0015514C" w:rsidRDefault="004A7D55">
      <w:pPr>
        <w:rPr>
          <w:rFonts w:ascii="Arial" w:eastAsia="Arial" w:hAnsi="Arial" w:cs="Arial"/>
          <w:b/>
          <w:bCs/>
          <w:sz w:val="24"/>
          <w:szCs w:val="24"/>
          <w:lang w:val="en-US"/>
        </w:rPr>
      </w:pPr>
    </w:p>
    <w:p w14:paraId="62206375" w14:textId="77777777" w:rsidR="004A7D55" w:rsidRPr="0015514C" w:rsidRDefault="004A7D55">
      <w:pPr>
        <w:rPr>
          <w:rFonts w:ascii="Arial" w:eastAsia="Arial" w:hAnsi="Arial" w:cs="Arial"/>
          <w:b/>
          <w:bCs/>
          <w:sz w:val="24"/>
          <w:szCs w:val="24"/>
          <w:lang w:val="en-US"/>
        </w:rPr>
      </w:pPr>
    </w:p>
    <w:p w14:paraId="62206376" w14:textId="77777777" w:rsidR="004A7D55" w:rsidRPr="0015514C" w:rsidRDefault="004A7D55">
      <w:pPr>
        <w:rPr>
          <w:rFonts w:ascii="Arial" w:eastAsia="Arial" w:hAnsi="Arial" w:cs="Arial"/>
          <w:b/>
          <w:bCs/>
          <w:sz w:val="24"/>
          <w:szCs w:val="24"/>
          <w:lang w:val="en-US"/>
        </w:rPr>
      </w:pPr>
    </w:p>
    <w:p w14:paraId="62206377" w14:textId="77777777" w:rsidR="004A7D55" w:rsidRPr="0015514C" w:rsidRDefault="004A7D55">
      <w:pPr>
        <w:rPr>
          <w:rFonts w:ascii="Arial" w:eastAsia="Arial" w:hAnsi="Arial" w:cs="Arial"/>
          <w:b/>
          <w:bCs/>
          <w:sz w:val="24"/>
          <w:szCs w:val="24"/>
          <w:lang w:val="en-US"/>
        </w:rPr>
      </w:pPr>
    </w:p>
    <w:p w14:paraId="62206378" w14:textId="77777777" w:rsidR="004A7D55" w:rsidRPr="0015514C" w:rsidRDefault="004A7D55">
      <w:pPr>
        <w:rPr>
          <w:rFonts w:ascii="Arial" w:eastAsia="Arial" w:hAnsi="Arial" w:cs="Arial"/>
          <w:b/>
          <w:bCs/>
          <w:sz w:val="24"/>
          <w:szCs w:val="24"/>
          <w:lang w:val="en-US"/>
        </w:rPr>
      </w:pPr>
    </w:p>
    <w:p w14:paraId="62206379" w14:textId="77777777" w:rsidR="004A7D55" w:rsidRPr="0015514C" w:rsidRDefault="004A7D55">
      <w:pPr>
        <w:rPr>
          <w:rFonts w:ascii="Arial" w:eastAsia="Arial" w:hAnsi="Arial" w:cs="Arial"/>
          <w:b/>
          <w:bCs/>
          <w:sz w:val="24"/>
          <w:szCs w:val="24"/>
          <w:lang w:val="en-US"/>
        </w:rPr>
      </w:pPr>
    </w:p>
    <w:p w14:paraId="6220637A" w14:textId="77777777" w:rsidR="004A7D55" w:rsidRPr="0015514C" w:rsidRDefault="004A7D55">
      <w:pPr>
        <w:rPr>
          <w:rFonts w:ascii="Arial" w:eastAsia="Arial" w:hAnsi="Arial" w:cs="Arial"/>
          <w:b/>
          <w:bCs/>
          <w:sz w:val="24"/>
          <w:szCs w:val="24"/>
          <w:lang w:val="en-US"/>
        </w:rPr>
      </w:pPr>
    </w:p>
    <w:p w14:paraId="6220637B" w14:textId="77777777" w:rsidR="004A7D55" w:rsidRPr="0015514C" w:rsidRDefault="004A7D55">
      <w:pPr>
        <w:rPr>
          <w:rFonts w:ascii="Arial" w:eastAsia="Arial" w:hAnsi="Arial" w:cs="Arial"/>
          <w:b/>
          <w:bCs/>
          <w:sz w:val="24"/>
          <w:szCs w:val="24"/>
          <w:lang w:val="en-US"/>
        </w:rPr>
      </w:pPr>
    </w:p>
    <w:p w14:paraId="6220637C" w14:textId="77777777" w:rsidR="004A7D55" w:rsidRPr="0015514C" w:rsidRDefault="004A7D55">
      <w:pPr>
        <w:rPr>
          <w:rFonts w:ascii="Arial" w:eastAsia="Arial" w:hAnsi="Arial" w:cs="Arial"/>
          <w:b/>
          <w:bCs/>
          <w:sz w:val="24"/>
          <w:szCs w:val="24"/>
          <w:lang w:val="en-US"/>
        </w:rPr>
      </w:pPr>
    </w:p>
    <w:p w14:paraId="6220637D" w14:textId="77777777" w:rsidR="004A7D55" w:rsidRPr="0015514C" w:rsidRDefault="004A7D55">
      <w:pPr>
        <w:rPr>
          <w:rFonts w:ascii="Arial" w:eastAsia="Arial" w:hAnsi="Arial" w:cs="Arial"/>
          <w:b/>
          <w:bCs/>
          <w:sz w:val="24"/>
          <w:szCs w:val="24"/>
          <w:lang w:val="en-US"/>
        </w:rPr>
      </w:pPr>
    </w:p>
    <w:p w14:paraId="12C05B21" w14:textId="77777777" w:rsidR="00D87CBD" w:rsidRDefault="00D87CBD">
      <w:pPr>
        <w:rPr>
          <w:rFonts w:ascii="Arial" w:eastAsia="Arial" w:hAnsi="Arial" w:cs="Arial"/>
          <w:b/>
          <w:bCs/>
          <w:sz w:val="24"/>
          <w:szCs w:val="24"/>
          <w:lang w:val="en-US"/>
        </w:rPr>
      </w:pPr>
    </w:p>
    <w:p w14:paraId="62206380" w14:textId="135DDBA7" w:rsidR="004A7D55" w:rsidRDefault="007A4A91">
      <w:pPr>
        <w:rPr>
          <w:rFonts w:ascii="Arial" w:eastAsia="Arial" w:hAnsi="Arial" w:cs="Arial"/>
          <w:b/>
          <w:bCs/>
          <w:sz w:val="24"/>
          <w:szCs w:val="24"/>
        </w:rPr>
      </w:pPr>
      <w:r>
        <w:rPr>
          <w:rFonts w:ascii="Arial" w:eastAsia="Arial" w:hAnsi="Arial" w:cs="Arial"/>
          <w:b/>
          <w:bCs/>
          <w:sz w:val="24"/>
          <w:szCs w:val="24"/>
        </w:rPr>
        <w:lastRenderedPageBreak/>
        <w:t>Introducción:</w:t>
      </w:r>
    </w:p>
    <w:p w14:paraId="62206381" w14:textId="77777777" w:rsidR="004A7D55" w:rsidRDefault="007A4A91">
      <w:pPr>
        <w:rPr>
          <w:rFonts w:ascii="Arial" w:eastAsia="Arial" w:hAnsi="Arial" w:cs="Arial"/>
          <w:sz w:val="24"/>
          <w:szCs w:val="24"/>
        </w:rPr>
      </w:pPr>
      <w:r>
        <w:rPr>
          <w:rFonts w:ascii="Arial" w:eastAsia="Arial" w:hAnsi="Arial" w:cs="Arial"/>
          <w:sz w:val="24"/>
          <w:szCs w:val="24"/>
        </w:rPr>
        <w:t>El carcinoma renal (carcinoma de células renales, CCR) constituye uno de los tumores urológicos más relevantes en la práctica clínica, representando aproximadamente el 2–3% de todas las neoplasias malignas del adulto y siendo el tumor sólido más frecuente del riñón. Su incidencia ha aumentado progresivamente en las últimas décadas, fenómeno que se atribuye en parte, al mayor uso de métodos de diagnóstico por imágenes abdominales, los cuales permiten detectar lesiones renales de manera incidental en estadios</w:t>
      </w:r>
      <w:r>
        <w:rPr>
          <w:rFonts w:ascii="Arial" w:eastAsia="Arial" w:hAnsi="Arial" w:cs="Arial"/>
          <w:sz w:val="24"/>
          <w:szCs w:val="24"/>
        </w:rPr>
        <w:t xml:space="preserve"> tempranos. No obstante, una proporción significativa de pacientes continúa presentándose con enfermedad localmente avanzada o metastásica, al momento del diagnóstico [1,2].</w:t>
      </w:r>
    </w:p>
    <w:p w14:paraId="62206382" w14:textId="77777777" w:rsidR="004A7D55" w:rsidRDefault="007A4A91">
      <w:pPr>
        <w:rPr>
          <w:rFonts w:ascii="Arial" w:eastAsia="Arial" w:hAnsi="Arial" w:cs="Arial"/>
          <w:sz w:val="24"/>
          <w:szCs w:val="24"/>
        </w:rPr>
      </w:pPr>
      <w:r>
        <w:rPr>
          <w:rFonts w:ascii="Arial" w:eastAsia="Arial" w:hAnsi="Arial" w:cs="Arial"/>
          <w:sz w:val="24"/>
          <w:szCs w:val="24"/>
        </w:rPr>
        <w:t>Desde el punto de vista histológico, el CCR comprende un grupo heterogéneo de tumores con características morfológicas, moleculares y clínicas diferentes. El subtipo más frecuente es el Carcinoma renal de células claras, que representa aproximadamente el 70–75% de los casos, seguido por el Carcinoma papilar renal y el Carcinoma cromófobo renal [3]. En los últimos años, el conocimiento de la biología molecular del CCR ha avanzado de manera significativa, identificándose alteraciones genéticas recurrentes que</w:t>
      </w:r>
      <w:r>
        <w:rPr>
          <w:rFonts w:ascii="Arial" w:eastAsia="Arial" w:hAnsi="Arial" w:cs="Arial"/>
          <w:sz w:val="24"/>
          <w:szCs w:val="24"/>
        </w:rPr>
        <w:t xml:space="preserve"> afectan vías relacionadas con la angiogénesis, el metabolismo celular y la regulación epigenética. Entre las alteraciones más relevantes se encuentran las mutaciones en el gen VHL, así como en genes implicados en la remodelación de la cromatina como PBRM1, BAP1 y SETD2 [4,5].</w:t>
      </w:r>
    </w:p>
    <w:p w14:paraId="62206383" w14:textId="77777777" w:rsidR="004A7D55" w:rsidRDefault="007A4A91">
      <w:pPr>
        <w:rPr>
          <w:rFonts w:ascii="Arial" w:eastAsia="Arial" w:hAnsi="Arial" w:cs="Arial"/>
          <w:sz w:val="24"/>
          <w:szCs w:val="24"/>
        </w:rPr>
      </w:pPr>
      <w:r>
        <w:rPr>
          <w:rFonts w:ascii="Arial" w:eastAsia="Arial" w:hAnsi="Arial" w:cs="Arial"/>
          <w:sz w:val="24"/>
          <w:szCs w:val="24"/>
        </w:rPr>
        <w:t xml:space="preserve">Estos avances en la comprensión de la biología tumoral han tenido un impacto directo en el desarrollo de nuevas estrategias terapéuticas. En particular, la introducción de terapias dirigidas contra la vía del factor de crecimiento endotelial vascular (VEGF) y, más recientemente, de inhibidores de puntos de control inmunológicos (ICI) como </w:t>
      </w:r>
      <w:proofErr w:type="spellStart"/>
      <w:r>
        <w:rPr>
          <w:rFonts w:ascii="Arial" w:eastAsia="Arial" w:hAnsi="Arial" w:cs="Arial"/>
          <w:sz w:val="24"/>
          <w:szCs w:val="24"/>
        </w:rPr>
        <w:t>Nivolumab</w:t>
      </w:r>
      <w:proofErr w:type="spellEnd"/>
      <w:r>
        <w:rPr>
          <w:rFonts w:ascii="Arial" w:eastAsia="Arial" w:hAnsi="Arial" w:cs="Arial"/>
          <w:sz w:val="24"/>
          <w:szCs w:val="24"/>
        </w:rPr>
        <w:t xml:space="preserve"> y </w:t>
      </w:r>
      <w:proofErr w:type="spellStart"/>
      <w:r>
        <w:rPr>
          <w:rFonts w:ascii="Arial" w:eastAsia="Arial" w:hAnsi="Arial" w:cs="Arial"/>
          <w:sz w:val="24"/>
          <w:szCs w:val="24"/>
        </w:rPr>
        <w:t>Pembrolizumab</w:t>
      </w:r>
      <w:proofErr w:type="spellEnd"/>
      <w:r>
        <w:rPr>
          <w:rFonts w:ascii="Arial" w:eastAsia="Arial" w:hAnsi="Arial" w:cs="Arial"/>
          <w:sz w:val="24"/>
          <w:szCs w:val="24"/>
        </w:rPr>
        <w:t>, ha transformado el tratamiento del CCR avanzado, mejorando significativamente los resultados clínicos en comparación con las terapias previamente utilizadas basadas en citocinas [6–8]. En paralelo, revisiones de alto impacto han sintetizado los avances recientes en la biología molecular y en el tratamiento sistémico del CCR, destacando el cambio de paradigma que ha experimentado el manejo de esta enfermedad en la última década [9–11].</w:t>
      </w:r>
    </w:p>
    <w:p w14:paraId="62206384" w14:textId="77777777" w:rsidR="004A7D55" w:rsidRDefault="007A4A91">
      <w:pPr>
        <w:rPr>
          <w:rFonts w:ascii="Arial" w:eastAsia="Arial" w:hAnsi="Arial" w:cs="Arial"/>
          <w:sz w:val="24"/>
          <w:szCs w:val="24"/>
        </w:rPr>
      </w:pPr>
      <w:r>
        <w:rPr>
          <w:rFonts w:ascii="Arial" w:eastAsia="Arial" w:hAnsi="Arial" w:cs="Arial"/>
          <w:sz w:val="24"/>
          <w:szCs w:val="24"/>
        </w:rPr>
        <w:t>En este contexto de rápida evolución terapéutica y creciente comprensión de la biología molecular del tumor, resulta fundamental integrar la evidencia disponible para optimizar la toma de decisiones clínicas. El objetivo de la presente revisión es presentar una actualización clínica sobre los avances recientes en la biología molecular, la estratificación pronóstica y las estrategias terapéuticas en el CCR, con énfasis en su relevancia para la práctica clínica.</w:t>
      </w:r>
    </w:p>
    <w:p w14:paraId="62206387" w14:textId="77777777" w:rsidR="004A7D55" w:rsidRDefault="007A4A91">
      <w:pPr>
        <w:rPr>
          <w:rFonts w:ascii="Arial" w:eastAsia="Arial" w:hAnsi="Arial" w:cs="Arial"/>
          <w:b/>
          <w:bCs/>
          <w:sz w:val="24"/>
          <w:szCs w:val="24"/>
        </w:rPr>
      </w:pPr>
      <w:r>
        <w:rPr>
          <w:rFonts w:ascii="Arial" w:eastAsia="Arial" w:hAnsi="Arial" w:cs="Arial"/>
          <w:b/>
          <w:bCs/>
          <w:sz w:val="24"/>
          <w:szCs w:val="24"/>
        </w:rPr>
        <w:t>Epidemiología y clasificación del carcinoma renal:</w:t>
      </w:r>
    </w:p>
    <w:p w14:paraId="62206388" w14:textId="77777777" w:rsidR="004A7D55" w:rsidRDefault="007A4A91">
      <w:pPr>
        <w:rPr>
          <w:rFonts w:ascii="Arial" w:eastAsia="Arial" w:hAnsi="Arial" w:cs="Arial"/>
          <w:sz w:val="24"/>
          <w:szCs w:val="24"/>
        </w:rPr>
      </w:pPr>
      <w:r>
        <w:rPr>
          <w:rFonts w:ascii="Arial" w:eastAsia="Arial" w:hAnsi="Arial" w:cs="Arial"/>
          <w:sz w:val="24"/>
          <w:szCs w:val="24"/>
        </w:rPr>
        <w:t xml:space="preserve">La incidencia del CCR ha mostrado un incremento sostenido en las últimas décadas a nivel mundial. Actualmente se estiman más de 430.000 nuevos casos anuales y aproximadamente 180.000 muertes asociadas a esta enfermedad, con una mayor </w:t>
      </w:r>
      <w:r>
        <w:rPr>
          <w:rFonts w:ascii="Arial" w:eastAsia="Arial" w:hAnsi="Arial" w:cs="Arial"/>
          <w:sz w:val="24"/>
          <w:szCs w:val="24"/>
        </w:rPr>
        <w:lastRenderedPageBreak/>
        <w:t>incidencia en países desarrollados [1]. La enfermedad es más frecuente en varones, con una relación aproximada de 2:1 respecto a las mujeres, y suele diagnosticarse entre la sexta y séptima décadas de la vida [2].</w:t>
      </w:r>
    </w:p>
    <w:p w14:paraId="62206389" w14:textId="77777777" w:rsidR="004A7D55" w:rsidRDefault="007A4A91">
      <w:pPr>
        <w:rPr>
          <w:rFonts w:ascii="Arial" w:eastAsia="Arial" w:hAnsi="Arial" w:cs="Arial"/>
          <w:sz w:val="24"/>
          <w:szCs w:val="24"/>
        </w:rPr>
      </w:pPr>
      <w:r>
        <w:rPr>
          <w:rFonts w:ascii="Arial" w:eastAsia="Arial" w:hAnsi="Arial" w:cs="Arial"/>
          <w:sz w:val="24"/>
          <w:szCs w:val="24"/>
        </w:rPr>
        <w:t xml:space="preserve">Diversos factores de riesgo han sido asociados con el desarrollo de CCR. Entre los más relevantes se encuentran el tabaquismo, la obesidad, la hipertensión arterial y la enfermedad renal crónica. Asimismo, un pequeño porcentaje de casos se relaciona con síndromes hereditarios, entre los que se destaca el Síndrome de </w:t>
      </w:r>
      <w:proofErr w:type="spellStart"/>
      <w:r>
        <w:rPr>
          <w:rFonts w:ascii="Arial" w:eastAsia="Arial" w:hAnsi="Arial" w:cs="Arial"/>
          <w:sz w:val="24"/>
          <w:szCs w:val="24"/>
        </w:rPr>
        <w:t>Von</w:t>
      </w:r>
      <w:proofErr w:type="spellEnd"/>
      <w:r>
        <w:rPr>
          <w:rFonts w:ascii="Arial" w:eastAsia="Arial" w:hAnsi="Arial" w:cs="Arial"/>
          <w:sz w:val="24"/>
          <w:szCs w:val="24"/>
        </w:rPr>
        <w:t xml:space="preserve"> Hippel</w:t>
      </w:r>
      <w:r>
        <w:rPr>
          <w:rFonts w:ascii="Cambria Math" w:eastAsia="Cambria Math" w:hAnsi="Cambria Math" w:cs="Cambria Math"/>
          <w:sz w:val="24"/>
          <w:szCs w:val="24"/>
        </w:rPr>
        <w:t>‑</w:t>
      </w:r>
      <w:r>
        <w:rPr>
          <w:rFonts w:ascii="Arial" w:eastAsia="Arial" w:hAnsi="Arial" w:cs="Arial"/>
          <w:sz w:val="24"/>
          <w:szCs w:val="24"/>
        </w:rPr>
        <w:t>Lindau, caracterizado por mutaciones germinales en el gen VHL, que predisponen al desarrollo de carcinoma renal de células claras [4,9].</w:t>
      </w:r>
    </w:p>
    <w:p w14:paraId="6220638A" w14:textId="77777777" w:rsidR="004A7D55" w:rsidRDefault="007A4A91">
      <w:pPr>
        <w:rPr>
          <w:rFonts w:ascii="Arial" w:eastAsia="Arial" w:hAnsi="Arial" w:cs="Arial"/>
          <w:sz w:val="24"/>
          <w:szCs w:val="24"/>
        </w:rPr>
      </w:pPr>
      <w:r>
        <w:rPr>
          <w:rFonts w:ascii="Arial" w:eastAsia="Arial" w:hAnsi="Arial" w:cs="Arial"/>
          <w:sz w:val="24"/>
          <w:szCs w:val="24"/>
        </w:rPr>
        <w:t xml:space="preserve">Desde el punto de vista histopatológico, el CCR constituye un grupo heterogéneo de tumores con características morfológicas y moleculares distintivas. La clasificación actual propuesta por la Organización Mundial de la Salud reconoce múltiples subtipos, siendo los más frecuentes el Carcinoma renal de células claras, el Carcinoma papilar renal y el Carcinoma cromófobo renal [3] (tabla 1). Cada uno de estos subtipos presenta perfiles genómicos característicos que influyen tanto en su comportamiento biológico </w:t>
      </w:r>
      <w:r>
        <w:rPr>
          <w:rFonts w:ascii="Arial" w:eastAsia="Arial" w:hAnsi="Arial" w:cs="Arial"/>
          <w:sz w:val="24"/>
          <w:szCs w:val="24"/>
        </w:rPr>
        <w:t>como en su respuesta a las terapias sistémicas [5,9].</w:t>
      </w:r>
    </w:p>
    <w:p w14:paraId="6220638B" w14:textId="77777777" w:rsidR="004A7D55" w:rsidRDefault="007A4A91">
      <w:pPr>
        <w:rPr>
          <w:rFonts w:ascii="Arial" w:eastAsia="Arial" w:hAnsi="Arial" w:cs="Arial"/>
          <w:sz w:val="24"/>
          <w:szCs w:val="24"/>
        </w:rPr>
      </w:pPr>
      <w:r>
        <w:rPr>
          <w:rFonts w:ascii="Arial" w:eastAsia="Arial" w:hAnsi="Arial" w:cs="Arial"/>
          <w:sz w:val="24"/>
          <w:szCs w:val="24"/>
        </w:rPr>
        <w:t>La identificación de estas diferencias histológicas y moleculares ha adquirido creciente relevancia en la práctica clínica, ya que contribuye a una mejor comprensión de la biología tumoral y puede influir en la selección de estrategias terapéuticas. En este sentido, el avance en las técnicas de secuenciación genómica ha permitido caracterizar con mayor precisión el panorama molecular del CCR, consolidando el concepto de que se trata de una enfermedad molecularmente heterogénea [5]. La comprensión de la hete</w:t>
      </w:r>
      <w:r>
        <w:rPr>
          <w:rFonts w:ascii="Arial" w:eastAsia="Arial" w:hAnsi="Arial" w:cs="Arial"/>
          <w:sz w:val="24"/>
          <w:szCs w:val="24"/>
        </w:rPr>
        <w:t>rogeneidad histológica del carcinoma renal, ha sido fundamental para interpretar su diversidad molecular, aspecto que se analiza en la siguiente sección.</w:t>
      </w:r>
    </w:p>
    <w:p w14:paraId="62206393" w14:textId="50603DBF" w:rsidR="004A7D55" w:rsidRDefault="007A4A91">
      <w:pPr>
        <w:rPr>
          <w:rFonts w:ascii="Arial" w:eastAsia="Arial" w:hAnsi="Arial" w:cs="Arial"/>
          <w:sz w:val="24"/>
          <w:szCs w:val="24"/>
        </w:rPr>
      </w:pPr>
      <w:r>
        <w:rPr>
          <w:rFonts w:ascii="Arial" w:eastAsia="Arial" w:hAnsi="Arial" w:cs="Arial"/>
          <w:sz w:val="24"/>
          <w:szCs w:val="24"/>
        </w:rPr>
        <w:t xml:space="preserve">Las principales alteraciones moleculares del carcinoma renal de células claras se resumen en la Figura 1. </w:t>
      </w:r>
    </w:p>
    <w:p w14:paraId="4D75F414" w14:textId="77777777" w:rsidR="00D87CBD" w:rsidRDefault="00D87CBD">
      <w:pPr>
        <w:rPr>
          <w:rFonts w:ascii="Arial" w:eastAsia="Arial" w:hAnsi="Arial" w:cs="Arial"/>
          <w:sz w:val="24"/>
          <w:szCs w:val="24"/>
        </w:rPr>
      </w:pPr>
    </w:p>
    <w:p w14:paraId="3B95B452" w14:textId="77777777" w:rsidR="00D87CBD" w:rsidRDefault="00D87CBD">
      <w:pPr>
        <w:rPr>
          <w:rFonts w:ascii="Arial" w:eastAsia="Arial" w:hAnsi="Arial" w:cs="Arial"/>
          <w:sz w:val="24"/>
          <w:szCs w:val="24"/>
        </w:rPr>
      </w:pPr>
    </w:p>
    <w:p w14:paraId="45ED3F6E" w14:textId="77777777" w:rsidR="00D87CBD" w:rsidRDefault="00D87CBD">
      <w:pPr>
        <w:rPr>
          <w:rFonts w:ascii="Arial" w:eastAsia="Arial" w:hAnsi="Arial" w:cs="Arial"/>
          <w:sz w:val="24"/>
          <w:szCs w:val="24"/>
        </w:rPr>
      </w:pPr>
    </w:p>
    <w:p w14:paraId="61DB83E1" w14:textId="77777777" w:rsidR="00D87CBD" w:rsidRDefault="00D87CBD">
      <w:pPr>
        <w:rPr>
          <w:rFonts w:ascii="Arial" w:eastAsia="Arial" w:hAnsi="Arial" w:cs="Arial"/>
          <w:sz w:val="24"/>
          <w:szCs w:val="24"/>
        </w:rPr>
      </w:pPr>
    </w:p>
    <w:p w14:paraId="0B89CF0E" w14:textId="77777777" w:rsidR="00D87CBD" w:rsidRDefault="00D87CBD">
      <w:pPr>
        <w:rPr>
          <w:rFonts w:ascii="Arial" w:eastAsia="Arial" w:hAnsi="Arial" w:cs="Arial"/>
          <w:sz w:val="24"/>
          <w:szCs w:val="24"/>
        </w:rPr>
      </w:pPr>
    </w:p>
    <w:p w14:paraId="60B13EE5" w14:textId="77777777" w:rsidR="00D87CBD" w:rsidRDefault="00D87CBD">
      <w:pPr>
        <w:rPr>
          <w:rFonts w:ascii="Arial" w:eastAsia="Arial" w:hAnsi="Arial" w:cs="Arial"/>
          <w:sz w:val="24"/>
          <w:szCs w:val="24"/>
        </w:rPr>
      </w:pPr>
    </w:p>
    <w:p w14:paraId="0703293B" w14:textId="77777777" w:rsidR="00D87CBD" w:rsidRDefault="00D87CBD">
      <w:pPr>
        <w:rPr>
          <w:rFonts w:ascii="Arial" w:eastAsia="Arial" w:hAnsi="Arial" w:cs="Arial"/>
          <w:sz w:val="24"/>
          <w:szCs w:val="24"/>
        </w:rPr>
      </w:pPr>
    </w:p>
    <w:p w14:paraId="14F6B006" w14:textId="77777777" w:rsidR="00D87CBD" w:rsidRDefault="00D87CBD">
      <w:pPr>
        <w:rPr>
          <w:rFonts w:ascii="Arial" w:eastAsia="Arial" w:hAnsi="Arial" w:cs="Arial"/>
          <w:sz w:val="24"/>
          <w:szCs w:val="24"/>
        </w:rPr>
      </w:pPr>
    </w:p>
    <w:p w14:paraId="59614438" w14:textId="77777777" w:rsidR="00D87CBD" w:rsidRDefault="00D87CBD">
      <w:pPr>
        <w:rPr>
          <w:rFonts w:ascii="Arial" w:eastAsia="Arial" w:hAnsi="Arial" w:cs="Arial"/>
          <w:sz w:val="24"/>
          <w:szCs w:val="24"/>
        </w:rPr>
      </w:pPr>
    </w:p>
    <w:p w14:paraId="4778B9E9" w14:textId="77777777" w:rsidR="00D87CBD" w:rsidRPr="00D87CBD" w:rsidRDefault="00D87CBD">
      <w:pPr>
        <w:rPr>
          <w:rFonts w:ascii="Arial" w:eastAsia="Arial" w:hAnsi="Arial" w:cs="Arial"/>
          <w:sz w:val="24"/>
          <w:szCs w:val="24"/>
        </w:rPr>
      </w:pPr>
    </w:p>
    <w:p w14:paraId="62206394" w14:textId="77777777" w:rsidR="004A7D55" w:rsidRDefault="007A4A91">
      <w:pPr>
        <w:rPr>
          <w:rFonts w:ascii="Arial" w:eastAsia="Arial" w:hAnsi="Arial" w:cs="Arial"/>
          <w:b/>
          <w:bCs/>
          <w:sz w:val="24"/>
          <w:szCs w:val="24"/>
        </w:rPr>
      </w:pPr>
      <w:r>
        <w:rPr>
          <w:rFonts w:ascii="Arial" w:eastAsia="Arial" w:hAnsi="Arial" w:cs="Arial"/>
          <w:b/>
          <w:bCs/>
          <w:sz w:val="24"/>
          <w:szCs w:val="24"/>
        </w:rPr>
        <w:lastRenderedPageBreak/>
        <w:t>Tabla 1: Principales subtipos histológicos de carcinoma renal</w:t>
      </w:r>
    </w:p>
    <w:tbl>
      <w:tblPr>
        <w:tblStyle w:val="a"/>
        <w:tblW w:w="9360" w:type="dxa"/>
        <w:tblInd w:w="0"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1704"/>
        <w:gridCol w:w="1893"/>
        <w:gridCol w:w="2568"/>
        <w:gridCol w:w="3195"/>
      </w:tblGrid>
      <w:tr w:rsidR="004A7D55" w14:paraId="62206399" w14:textId="77777777">
        <w:trPr>
          <w:tblHeader/>
        </w:trPr>
        <w:tc>
          <w:tcPr>
            <w:tcW w:w="1704" w:type="dxa"/>
            <w:vAlign w:val="center"/>
          </w:tcPr>
          <w:p w14:paraId="62206395" w14:textId="77777777" w:rsidR="004A7D55" w:rsidRDefault="007A4A91">
            <w:pPr>
              <w:jc w:val="center"/>
              <w:rPr>
                <w:rFonts w:ascii="Arial" w:eastAsia="Arial" w:hAnsi="Arial" w:cs="Arial"/>
                <w:b/>
                <w:bCs/>
                <w:sz w:val="24"/>
                <w:szCs w:val="24"/>
              </w:rPr>
            </w:pPr>
            <w:r>
              <w:rPr>
                <w:rFonts w:ascii="Arial" w:eastAsia="Arial" w:hAnsi="Arial" w:cs="Arial"/>
                <w:b/>
                <w:bCs/>
                <w:sz w:val="24"/>
                <w:szCs w:val="24"/>
              </w:rPr>
              <w:t>Subtipo histológico</w:t>
            </w:r>
          </w:p>
        </w:tc>
        <w:tc>
          <w:tcPr>
            <w:tcW w:w="1893" w:type="dxa"/>
            <w:vAlign w:val="center"/>
          </w:tcPr>
          <w:p w14:paraId="62206396" w14:textId="77777777" w:rsidR="004A7D55" w:rsidRDefault="007A4A91">
            <w:pPr>
              <w:jc w:val="center"/>
              <w:rPr>
                <w:rFonts w:ascii="Arial" w:eastAsia="Arial" w:hAnsi="Arial" w:cs="Arial"/>
                <w:b/>
                <w:bCs/>
                <w:sz w:val="24"/>
                <w:szCs w:val="24"/>
              </w:rPr>
            </w:pPr>
            <w:r>
              <w:rPr>
                <w:rFonts w:ascii="Arial" w:eastAsia="Arial" w:hAnsi="Arial" w:cs="Arial"/>
                <w:b/>
                <w:bCs/>
                <w:sz w:val="24"/>
                <w:szCs w:val="24"/>
              </w:rPr>
              <w:t>Frecuencia aproximada</w:t>
            </w:r>
          </w:p>
        </w:tc>
        <w:tc>
          <w:tcPr>
            <w:tcW w:w="2568" w:type="dxa"/>
            <w:vAlign w:val="center"/>
          </w:tcPr>
          <w:p w14:paraId="62206397" w14:textId="77777777" w:rsidR="004A7D55" w:rsidRDefault="007A4A91">
            <w:pPr>
              <w:jc w:val="center"/>
              <w:rPr>
                <w:rFonts w:ascii="Arial" w:eastAsia="Arial" w:hAnsi="Arial" w:cs="Arial"/>
                <w:b/>
                <w:bCs/>
                <w:sz w:val="24"/>
                <w:szCs w:val="24"/>
              </w:rPr>
            </w:pPr>
            <w:r>
              <w:rPr>
                <w:rFonts w:ascii="Arial" w:eastAsia="Arial" w:hAnsi="Arial" w:cs="Arial"/>
                <w:b/>
                <w:bCs/>
                <w:sz w:val="24"/>
                <w:szCs w:val="24"/>
              </w:rPr>
              <w:t>Alteraciones moleculares frecuentes</w:t>
            </w:r>
          </w:p>
        </w:tc>
        <w:tc>
          <w:tcPr>
            <w:tcW w:w="3195" w:type="dxa"/>
            <w:vAlign w:val="center"/>
          </w:tcPr>
          <w:p w14:paraId="62206398" w14:textId="77777777" w:rsidR="004A7D55" w:rsidRDefault="007A4A91">
            <w:pPr>
              <w:jc w:val="center"/>
              <w:rPr>
                <w:rFonts w:ascii="Arial" w:eastAsia="Arial" w:hAnsi="Arial" w:cs="Arial"/>
                <w:b/>
                <w:bCs/>
                <w:sz w:val="24"/>
                <w:szCs w:val="24"/>
              </w:rPr>
            </w:pPr>
            <w:r>
              <w:rPr>
                <w:rFonts w:ascii="Arial" w:eastAsia="Arial" w:hAnsi="Arial" w:cs="Arial"/>
                <w:b/>
                <w:bCs/>
                <w:sz w:val="24"/>
                <w:szCs w:val="24"/>
              </w:rPr>
              <w:t>Características biológicas</w:t>
            </w:r>
          </w:p>
        </w:tc>
      </w:tr>
      <w:tr w:rsidR="004A7D55" w14:paraId="6220639E" w14:textId="77777777">
        <w:tc>
          <w:tcPr>
            <w:tcW w:w="1704" w:type="dxa"/>
            <w:vAlign w:val="center"/>
          </w:tcPr>
          <w:p w14:paraId="6220639A" w14:textId="77777777" w:rsidR="004A7D55" w:rsidRDefault="007A4A91">
            <w:pPr>
              <w:jc w:val="center"/>
              <w:rPr>
                <w:rFonts w:ascii="Arial" w:eastAsia="Arial" w:hAnsi="Arial" w:cs="Arial"/>
                <w:sz w:val="24"/>
                <w:szCs w:val="24"/>
              </w:rPr>
            </w:pPr>
            <w:r>
              <w:rPr>
                <w:rFonts w:ascii="Arial" w:eastAsia="Arial" w:hAnsi="Arial" w:cs="Arial"/>
                <w:sz w:val="24"/>
                <w:szCs w:val="24"/>
              </w:rPr>
              <w:t>Células claras</w:t>
            </w:r>
          </w:p>
        </w:tc>
        <w:tc>
          <w:tcPr>
            <w:tcW w:w="1893" w:type="dxa"/>
            <w:vAlign w:val="center"/>
          </w:tcPr>
          <w:p w14:paraId="6220639B" w14:textId="77777777" w:rsidR="004A7D55" w:rsidRDefault="007A4A91">
            <w:pPr>
              <w:jc w:val="center"/>
              <w:rPr>
                <w:rFonts w:ascii="Arial" w:eastAsia="Arial" w:hAnsi="Arial" w:cs="Arial"/>
                <w:sz w:val="24"/>
                <w:szCs w:val="24"/>
              </w:rPr>
            </w:pPr>
            <w:r>
              <w:rPr>
                <w:rFonts w:ascii="Arial" w:eastAsia="Arial" w:hAnsi="Arial" w:cs="Arial"/>
                <w:sz w:val="24"/>
                <w:szCs w:val="24"/>
              </w:rPr>
              <w:t>70–75%</w:t>
            </w:r>
          </w:p>
        </w:tc>
        <w:tc>
          <w:tcPr>
            <w:tcW w:w="2568" w:type="dxa"/>
            <w:vAlign w:val="center"/>
          </w:tcPr>
          <w:p w14:paraId="6220639C" w14:textId="77777777" w:rsidR="004A7D55" w:rsidRDefault="007A4A91">
            <w:pPr>
              <w:jc w:val="center"/>
              <w:rPr>
                <w:rFonts w:ascii="Arial" w:eastAsia="Arial" w:hAnsi="Arial" w:cs="Arial"/>
                <w:sz w:val="24"/>
                <w:szCs w:val="24"/>
              </w:rPr>
            </w:pPr>
            <w:r>
              <w:rPr>
                <w:rFonts w:ascii="Arial" w:eastAsia="Arial" w:hAnsi="Arial" w:cs="Arial"/>
                <w:sz w:val="24"/>
                <w:szCs w:val="24"/>
              </w:rPr>
              <w:t>VHL, PBRM1, BAP1, SETD2</w:t>
            </w:r>
          </w:p>
        </w:tc>
        <w:tc>
          <w:tcPr>
            <w:tcW w:w="3195" w:type="dxa"/>
            <w:vAlign w:val="center"/>
          </w:tcPr>
          <w:p w14:paraId="6220639D" w14:textId="77777777" w:rsidR="004A7D55" w:rsidRDefault="007A4A91">
            <w:pPr>
              <w:jc w:val="center"/>
              <w:rPr>
                <w:rFonts w:ascii="Arial" w:eastAsia="Arial" w:hAnsi="Arial" w:cs="Arial"/>
                <w:sz w:val="24"/>
                <w:szCs w:val="24"/>
              </w:rPr>
            </w:pPr>
            <w:r>
              <w:rPr>
                <w:rFonts w:ascii="Arial" w:eastAsia="Arial" w:hAnsi="Arial" w:cs="Arial"/>
                <w:sz w:val="24"/>
                <w:szCs w:val="24"/>
              </w:rPr>
              <w:t>Alta angiogénesis, dependencia de la vía HIF-VEGF</w:t>
            </w:r>
          </w:p>
        </w:tc>
      </w:tr>
      <w:tr w:rsidR="004A7D55" w14:paraId="622063A3" w14:textId="77777777">
        <w:tc>
          <w:tcPr>
            <w:tcW w:w="1704" w:type="dxa"/>
            <w:vAlign w:val="center"/>
          </w:tcPr>
          <w:p w14:paraId="6220639F" w14:textId="77777777" w:rsidR="004A7D55" w:rsidRDefault="007A4A91">
            <w:pPr>
              <w:jc w:val="center"/>
              <w:rPr>
                <w:rFonts w:ascii="Arial" w:eastAsia="Arial" w:hAnsi="Arial" w:cs="Arial"/>
                <w:sz w:val="24"/>
                <w:szCs w:val="24"/>
              </w:rPr>
            </w:pPr>
            <w:r>
              <w:rPr>
                <w:rFonts w:ascii="Arial" w:eastAsia="Arial" w:hAnsi="Arial" w:cs="Arial"/>
                <w:sz w:val="24"/>
                <w:szCs w:val="24"/>
              </w:rPr>
              <w:t>Papilar</w:t>
            </w:r>
          </w:p>
        </w:tc>
        <w:tc>
          <w:tcPr>
            <w:tcW w:w="1893" w:type="dxa"/>
            <w:vAlign w:val="center"/>
          </w:tcPr>
          <w:p w14:paraId="622063A0" w14:textId="77777777" w:rsidR="004A7D55" w:rsidRDefault="007A4A91">
            <w:pPr>
              <w:jc w:val="center"/>
              <w:rPr>
                <w:rFonts w:ascii="Arial" w:eastAsia="Arial" w:hAnsi="Arial" w:cs="Arial"/>
                <w:sz w:val="24"/>
                <w:szCs w:val="24"/>
              </w:rPr>
            </w:pPr>
            <w:r>
              <w:rPr>
                <w:rFonts w:ascii="Arial" w:eastAsia="Arial" w:hAnsi="Arial" w:cs="Arial"/>
                <w:sz w:val="24"/>
                <w:szCs w:val="24"/>
              </w:rPr>
              <w:t>10–15%</w:t>
            </w:r>
          </w:p>
        </w:tc>
        <w:tc>
          <w:tcPr>
            <w:tcW w:w="2568" w:type="dxa"/>
            <w:vAlign w:val="center"/>
          </w:tcPr>
          <w:p w14:paraId="622063A1" w14:textId="77777777" w:rsidR="004A7D55" w:rsidRDefault="007A4A91">
            <w:pPr>
              <w:jc w:val="center"/>
              <w:rPr>
                <w:rFonts w:ascii="Arial" w:eastAsia="Arial" w:hAnsi="Arial" w:cs="Arial"/>
                <w:sz w:val="24"/>
                <w:szCs w:val="24"/>
              </w:rPr>
            </w:pPr>
            <w:r>
              <w:rPr>
                <w:rFonts w:ascii="Arial" w:eastAsia="Arial" w:hAnsi="Arial" w:cs="Arial"/>
                <w:sz w:val="24"/>
                <w:szCs w:val="24"/>
              </w:rPr>
              <w:t>MET, alteraciones cromosómicas</w:t>
            </w:r>
          </w:p>
        </w:tc>
        <w:tc>
          <w:tcPr>
            <w:tcW w:w="3195" w:type="dxa"/>
            <w:vAlign w:val="center"/>
          </w:tcPr>
          <w:p w14:paraId="622063A2" w14:textId="77777777" w:rsidR="004A7D55" w:rsidRDefault="007A4A91">
            <w:pPr>
              <w:jc w:val="center"/>
              <w:rPr>
                <w:rFonts w:ascii="Arial" w:eastAsia="Arial" w:hAnsi="Arial" w:cs="Arial"/>
                <w:sz w:val="24"/>
                <w:szCs w:val="24"/>
              </w:rPr>
            </w:pPr>
            <w:r>
              <w:rPr>
                <w:rFonts w:ascii="Arial" w:eastAsia="Arial" w:hAnsi="Arial" w:cs="Arial"/>
                <w:sz w:val="24"/>
                <w:szCs w:val="24"/>
              </w:rPr>
              <w:t>Heterogeneidad biológica</w:t>
            </w:r>
          </w:p>
        </w:tc>
      </w:tr>
      <w:tr w:rsidR="004A7D55" w14:paraId="622063A8" w14:textId="77777777">
        <w:tc>
          <w:tcPr>
            <w:tcW w:w="1704" w:type="dxa"/>
            <w:vAlign w:val="center"/>
          </w:tcPr>
          <w:p w14:paraId="622063A4" w14:textId="77777777" w:rsidR="004A7D55" w:rsidRDefault="007A4A91">
            <w:pPr>
              <w:jc w:val="center"/>
              <w:rPr>
                <w:rFonts w:ascii="Arial" w:eastAsia="Arial" w:hAnsi="Arial" w:cs="Arial"/>
                <w:sz w:val="24"/>
                <w:szCs w:val="24"/>
              </w:rPr>
            </w:pPr>
            <w:r>
              <w:rPr>
                <w:rFonts w:ascii="Arial" w:eastAsia="Arial" w:hAnsi="Arial" w:cs="Arial"/>
                <w:sz w:val="24"/>
                <w:szCs w:val="24"/>
              </w:rPr>
              <w:t>Cromófobo</w:t>
            </w:r>
          </w:p>
        </w:tc>
        <w:tc>
          <w:tcPr>
            <w:tcW w:w="1893" w:type="dxa"/>
            <w:vAlign w:val="center"/>
          </w:tcPr>
          <w:p w14:paraId="622063A5" w14:textId="77777777" w:rsidR="004A7D55" w:rsidRDefault="007A4A91">
            <w:pPr>
              <w:jc w:val="center"/>
              <w:rPr>
                <w:rFonts w:ascii="Arial" w:eastAsia="Arial" w:hAnsi="Arial" w:cs="Arial"/>
                <w:sz w:val="24"/>
                <w:szCs w:val="24"/>
              </w:rPr>
            </w:pPr>
            <w:r>
              <w:rPr>
                <w:rFonts w:ascii="Arial" w:eastAsia="Arial" w:hAnsi="Arial" w:cs="Arial"/>
                <w:sz w:val="24"/>
                <w:szCs w:val="24"/>
              </w:rPr>
              <w:t>~5%</w:t>
            </w:r>
          </w:p>
        </w:tc>
        <w:tc>
          <w:tcPr>
            <w:tcW w:w="2568" w:type="dxa"/>
            <w:vAlign w:val="center"/>
          </w:tcPr>
          <w:p w14:paraId="622063A6" w14:textId="77777777" w:rsidR="004A7D55" w:rsidRDefault="007A4A91">
            <w:pPr>
              <w:jc w:val="center"/>
              <w:rPr>
                <w:rFonts w:ascii="Arial" w:eastAsia="Arial" w:hAnsi="Arial" w:cs="Arial"/>
                <w:sz w:val="24"/>
                <w:szCs w:val="24"/>
              </w:rPr>
            </w:pPr>
            <w:r>
              <w:rPr>
                <w:rFonts w:ascii="Arial" w:eastAsia="Arial" w:hAnsi="Arial" w:cs="Arial"/>
                <w:sz w:val="24"/>
                <w:szCs w:val="24"/>
              </w:rPr>
              <w:t>Pérdidas cromosómicas múltiples</w:t>
            </w:r>
          </w:p>
        </w:tc>
        <w:tc>
          <w:tcPr>
            <w:tcW w:w="3195" w:type="dxa"/>
            <w:vAlign w:val="center"/>
          </w:tcPr>
          <w:p w14:paraId="622063A7" w14:textId="77777777" w:rsidR="004A7D55" w:rsidRDefault="007A4A91">
            <w:pPr>
              <w:jc w:val="center"/>
              <w:rPr>
                <w:rFonts w:ascii="Arial" w:eastAsia="Arial" w:hAnsi="Arial" w:cs="Arial"/>
                <w:sz w:val="24"/>
                <w:szCs w:val="24"/>
              </w:rPr>
            </w:pPr>
            <w:r>
              <w:rPr>
                <w:rFonts w:ascii="Arial" w:eastAsia="Arial" w:hAnsi="Arial" w:cs="Arial"/>
                <w:sz w:val="24"/>
                <w:szCs w:val="24"/>
              </w:rPr>
              <w:t>Mejor pronóstico en general</w:t>
            </w:r>
          </w:p>
        </w:tc>
      </w:tr>
    </w:tbl>
    <w:p w14:paraId="622063A9" w14:textId="77777777" w:rsidR="004A7D55" w:rsidRDefault="007A4A91">
      <w:pPr>
        <w:rPr>
          <w:rFonts w:ascii="Arial" w:eastAsia="Arial" w:hAnsi="Arial" w:cs="Arial"/>
          <w:sz w:val="24"/>
          <w:szCs w:val="24"/>
        </w:rPr>
      </w:pPr>
      <w:r>
        <w:rPr>
          <w:rFonts w:ascii="Arial" w:eastAsia="Arial" w:hAnsi="Arial" w:cs="Arial"/>
          <w:b/>
          <w:bCs/>
          <w:sz w:val="24"/>
          <w:szCs w:val="24"/>
        </w:rPr>
        <w:t xml:space="preserve">Referencias: </w:t>
      </w:r>
      <w:r>
        <w:rPr>
          <w:rFonts w:ascii="Arial" w:eastAsia="Arial" w:hAnsi="Arial" w:cs="Arial"/>
          <w:sz w:val="24"/>
          <w:szCs w:val="24"/>
        </w:rPr>
        <w:t xml:space="preserve">BAP1: Proteína 1 Asociada a BRCA1; HIF: factor inducido por hipoxia; MET: protooncogén receptor de </w:t>
      </w:r>
      <w:proofErr w:type="spellStart"/>
      <w:r>
        <w:rPr>
          <w:rFonts w:ascii="Arial" w:eastAsia="Arial" w:hAnsi="Arial" w:cs="Arial"/>
          <w:sz w:val="24"/>
          <w:szCs w:val="24"/>
        </w:rPr>
        <w:t>tirocina</w:t>
      </w:r>
      <w:proofErr w:type="spellEnd"/>
      <w:r>
        <w:rPr>
          <w:rFonts w:ascii="Arial" w:eastAsia="Arial" w:hAnsi="Arial" w:cs="Arial"/>
          <w:sz w:val="24"/>
          <w:szCs w:val="24"/>
        </w:rPr>
        <w:t xml:space="preserve"> </w:t>
      </w:r>
      <w:proofErr w:type="spellStart"/>
      <w:r>
        <w:rPr>
          <w:rFonts w:ascii="Arial" w:eastAsia="Arial" w:hAnsi="Arial" w:cs="Arial"/>
          <w:sz w:val="24"/>
          <w:szCs w:val="24"/>
        </w:rPr>
        <w:t>qinasa</w:t>
      </w:r>
      <w:proofErr w:type="spellEnd"/>
      <w:r>
        <w:rPr>
          <w:rFonts w:ascii="Arial" w:eastAsia="Arial" w:hAnsi="Arial" w:cs="Arial"/>
          <w:sz w:val="24"/>
          <w:szCs w:val="24"/>
        </w:rPr>
        <w:t xml:space="preserve">; PBRM1: Polybromo-1; SETD2: SET Domain </w:t>
      </w:r>
      <w:proofErr w:type="spellStart"/>
      <w:r>
        <w:rPr>
          <w:rFonts w:ascii="Arial" w:eastAsia="Arial" w:hAnsi="Arial" w:cs="Arial"/>
          <w:sz w:val="24"/>
          <w:szCs w:val="24"/>
        </w:rPr>
        <w:t>Containing</w:t>
      </w:r>
      <w:proofErr w:type="spellEnd"/>
      <w:r>
        <w:rPr>
          <w:rFonts w:ascii="Arial" w:eastAsia="Arial" w:hAnsi="Arial" w:cs="Arial"/>
          <w:sz w:val="24"/>
          <w:szCs w:val="24"/>
        </w:rPr>
        <w:t xml:space="preserve"> 2; VEGF: factor de crecimiento endotelial vascular; VHL: </w:t>
      </w:r>
      <w:proofErr w:type="spellStart"/>
      <w:r>
        <w:rPr>
          <w:rFonts w:ascii="Arial" w:eastAsia="Arial" w:hAnsi="Arial" w:cs="Arial"/>
          <w:sz w:val="24"/>
          <w:szCs w:val="24"/>
        </w:rPr>
        <w:t>Von</w:t>
      </w:r>
      <w:proofErr w:type="spellEnd"/>
      <w:r>
        <w:rPr>
          <w:rFonts w:ascii="Arial" w:eastAsia="Arial" w:hAnsi="Arial" w:cs="Arial"/>
          <w:sz w:val="24"/>
          <w:szCs w:val="24"/>
        </w:rPr>
        <w:t xml:space="preserve"> Hippel-Lindau.</w:t>
      </w:r>
    </w:p>
    <w:p w14:paraId="622063AA" w14:textId="77777777" w:rsidR="004A7D55" w:rsidRDefault="004A7D55">
      <w:pPr>
        <w:rPr>
          <w:rFonts w:ascii="Arial" w:eastAsia="Arial" w:hAnsi="Arial" w:cs="Arial"/>
          <w:sz w:val="24"/>
          <w:szCs w:val="24"/>
        </w:rPr>
      </w:pPr>
    </w:p>
    <w:p w14:paraId="622063AB" w14:textId="77777777" w:rsidR="004A7D55" w:rsidRDefault="004A7D55">
      <w:pPr>
        <w:rPr>
          <w:rFonts w:ascii="Arial" w:eastAsia="Arial" w:hAnsi="Arial" w:cs="Arial"/>
          <w:sz w:val="24"/>
          <w:szCs w:val="24"/>
        </w:rPr>
      </w:pPr>
    </w:p>
    <w:p w14:paraId="622063AC" w14:textId="77777777" w:rsidR="004A7D55" w:rsidRDefault="004A7D55">
      <w:pPr>
        <w:rPr>
          <w:rFonts w:ascii="Arial" w:eastAsia="Arial" w:hAnsi="Arial" w:cs="Arial"/>
          <w:sz w:val="24"/>
          <w:szCs w:val="24"/>
        </w:rPr>
      </w:pPr>
    </w:p>
    <w:p w14:paraId="622063AD" w14:textId="77777777" w:rsidR="004A7D55" w:rsidRDefault="004A7D55">
      <w:pPr>
        <w:rPr>
          <w:rFonts w:ascii="Arial" w:eastAsia="Arial" w:hAnsi="Arial" w:cs="Arial"/>
          <w:sz w:val="24"/>
          <w:szCs w:val="24"/>
        </w:rPr>
      </w:pPr>
    </w:p>
    <w:p w14:paraId="622063AE" w14:textId="77777777" w:rsidR="004A7D55" w:rsidRDefault="004A7D55">
      <w:pPr>
        <w:rPr>
          <w:rFonts w:ascii="Arial" w:eastAsia="Arial" w:hAnsi="Arial" w:cs="Arial"/>
          <w:sz w:val="24"/>
          <w:szCs w:val="24"/>
        </w:rPr>
      </w:pPr>
    </w:p>
    <w:p w14:paraId="622063AF" w14:textId="77777777" w:rsidR="004A7D55" w:rsidRDefault="004A7D55">
      <w:pPr>
        <w:rPr>
          <w:rFonts w:ascii="Arial" w:eastAsia="Arial" w:hAnsi="Arial" w:cs="Arial"/>
          <w:sz w:val="24"/>
          <w:szCs w:val="24"/>
        </w:rPr>
      </w:pPr>
    </w:p>
    <w:p w14:paraId="622063B0" w14:textId="77777777" w:rsidR="004A7D55" w:rsidRDefault="004A7D55">
      <w:pPr>
        <w:rPr>
          <w:rFonts w:ascii="Arial" w:eastAsia="Arial" w:hAnsi="Arial" w:cs="Arial"/>
          <w:sz w:val="24"/>
          <w:szCs w:val="24"/>
        </w:rPr>
      </w:pPr>
    </w:p>
    <w:p w14:paraId="622063B1" w14:textId="77777777" w:rsidR="004A7D55" w:rsidRDefault="004A7D55">
      <w:pPr>
        <w:rPr>
          <w:rFonts w:ascii="Arial" w:eastAsia="Arial" w:hAnsi="Arial" w:cs="Arial"/>
          <w:sz w:val="24"/>
          <w:szCs w:val="24"/>
        </w:rPr>
      </w:pPr>
    </w:p>
    <w:p w14:paraId="622063B2" w14:textId="77777777" w:rsidR="004A7D55" w:rsidRDefault="004A7D55">
      <w:pPr>
        <w:rPr>
          <w:rFonts w:ascii="Arial" w:eastAsia="Arial" w:hAnsi="Arial" w:cs="Arial"/>
          <w:sz w:val="24"/>
          <w:szCs w:val="24"/>
        </w:rPr>
      </w:pPr>
    </w:p>
    <w:p w14:paraId="622063B3" w14:textId="77777777" w:rsidR="004A7D55" w:rsidRDefault="004A7D55">
      <w:pPr>
        <w:rPr>
          <w:rFonts w:ascii="Arial" w:eastAsia="Arial" w:hAnsi="Arial" w:cs="Arial"/>
          <w:sz w:val="24"/>
          <w:szCs w:val="24"/>
        </w:rPr>
      </w:pPr>
    </w:p>
    <w:p w14:paraId="622063B4" w14:textId="77777777" w:rsidR="004A7D55" w:rsidRDefault="004A7D55">
      <w:pPr>
        <w:rPr>
          <w:rFonts w:ascii="Arial" w:eastAsia="Arial" w:hAnsi="Arial" w:cs="Arial"/>
          <w:sz w:val="24"/>
          <w:szCs w:val="24"/>
        </w:rPr>
      </w:pPr>
    </w:p>
    <w:p w14:paraId="622063B5" w14:textId="77777777" w:rsidR="004A7D55" w:rsidRDefault="004A7D55">
      <w:pPr>
        <w:rPr>
          <w:rFonts w:ascii="Arial" w:eastAsia="Arial" w:hAnsi="Arial" w:cs="Arial"/>
          <w:sz w:val="24"/>
          <w:szCs w:val="24"/>
        </w:rPr>
      </w:pPr>
    </w:p>
    <w:p w14:paraId="622063B6" w14:textId="77777777" w:rsidR="004A7D55" w:rsidRDefault="004A7D55">
      <w:pPr>
        <w:rPr>
          <w:rFonts w:ascii="Arial" w:eastAsia="Arial" w:hAnsi="Arial" w:cs="Arial"/>
          <w:sz w:val="24"/>
          <w:szCs w:val="24"/>
        </w:rPr>
      </w:pPr>
    </w:p>
    <w:p w14:paraId="622063B7" w14:textId="77777777" w:rsidR="004A7D55" w:rsidRDefault="004A7D55">
      <w:pPr>
        <w:rPr>
          <w:rFonts w:ascii="Arial" w:eastAsia="Arial" w:hAnsi="Arial" w:cs="Arial"/>
          <w:sz w:val="24"/>
          <w:szCs w:val="24"/>
        </w:rPr>
      </w:pPr>
    </w:p>
    <w:p w14:paraId="622063B8" w14:textId="77777777" w:rsidR="004A7D55" w:rsidRDefault="004A7D55">
      <w:pPr>
        <w:rPr>
          <w:rFonts w:ascii="Arial" w:eastAsia="Arial" w:hAnsi="Arial" w:cs="Arial"/>
          <w:sz w:val="24"/>
          <w:szCs w:val="24"/>
        </w:rPr>
      </w:pPr>
    </w:p>
    <w:p w14:paraId="622063B9" w14:textId="77777777" w:rsidR="004A7D55" w:rsidRDefault="007A4A91">
      <w:pPr>
        <w:rPr>
          <w:rFonts w:ascii="Arial" w:eastAsia="Arial" w:hAnsi="Arial" w:cs="Arial"/>
          <w:b/>
          <w:bCs/>
          <w:sz w:val="24"/>
          <w:szCs w:val="24"/>
        </w:rPr>
      </w:pPr>
      <w:r>
        <w:rPr>
          <w:rFonts w:ascii="Arial" w:eastAsia="Arial" w:hAnsi="Arial" w:cs="Arial"/>
          <w:b/>
          <w:bCs/>
          <w:sz w:val="24"/>
          <w:szCs w:val="24"/>
        </w:rPr>
        <w:lastRenderedPageBreak/>
        <w:t xml:space="preserve">Figura 1. </w:t>
      </w:r>
      <w:proofErr w:type="spellStart"/>
      <w:r>
        <w:rPr>
          <w:rFonts w:ascii="Arial" w:eastAsia="Arial" w:hAnsi="Arial" w:cs="Arial"/>
          <w:b/>
          <w:bCs/>
          <w:sz w:val="24"/>
          <w:szCs w:val="24"/>
        </w:rPr>
        <w:t>Landscape</w:t>
      </w:r>
      <w:proofErr w:type="spellEnd"/>
      <w:r>
        <w:rPr>
          <w:rFonts w:ascii="Arial" w:eastAsia="Arial" w:hAnsi="Arial" w:cs="Arial"/>
          <w:b/>
          <w:bCs/>
          <w:sz w:val="24"/>
          <w:szCs w:val="24"/>
        </w:rPr>
        <w:t xml:space="preserve"> molecular del carcinoma renal de células claras.</w:t>
      </w:r>
    </w:p>
    <w:p w14:paraId="622063BA" w14:textId="4D47B1FF" w:rsidR="004A7D55" w:rsidRDefault="004A7D55">
      <w:pPr>
        <w:rPr>
          <w:rFonts w:ascii="Arial" w:eastAsia="Arial" w:hAnsi="Arial" w:cs="Arial"/>
          <w:b/>
          <w:bCs/>
          <w:sz w:val="24"/>
          <w:szCs w:val="24"/>
        </w:rPr>
      </w:pPr>
    </w:p>
    <w:p w14:paraId="622063BB" w14:textId="77777777" w:rsidR="004A7D55" w:rsidRDefault="007A4A91">
      <w:pPr>
        <w:rPr>
          <w:rFonts w:ascii="Arial" w:eastAsia="Arial" w:hAnsi="Arial" w:cs="Arial"/>
          <w:sz w:val="24"/>
          <w:szCs w:val="24"/>
        </w:rPr>
      </w:pPr>
      <w:r>
        <w:rPr>
          <w:rFonts w:ascii="Arial" w:eastAsia="Arial" w:hAnsi="Arial" w:cs="Arial"/>
          <w:b/>
          <w:bCs/>
          <w:sz w:val="24"/>
          <w:szCs w:val="24"/>
        </w:rPr>
        <w:t>Referencias (Fig. 1):</w:t>
      </w:r>
      <w:r>
        <w:rPr>
          <w:rFonts w:ascii="Arial" w:eastAsia="Arial" w:hAnsi="Arial" w:cs="Arial"/>
          <w:sz w:val="24"/>
          <w:szCs w:val="24"/>
        </w:rPr>
        <w:t xml:space="preserve"> La pérdida o inactivación del gen VHL conduce a la estabilización de los factores inducibles por hipoxia (HIF-1α y HIF-2α), lo que promueve la activación de múltiples genes implicados en la angiogénesis y la progresión tumoral, incluyendo VEGF, MET y PD-L1. Alteraciones adicionales en genes de remodelación </w:t>
      </w:r>
      <w:proofErr w:type="spellStart"/>
      <w:r>
        <w:rPr>
          <w:rFonts w:ascii="Arial" w:eastAsia="Arial" w:hAnsi="Arial" w:cs="Arial"/>
          <w:sz w:val="24"/>
          <w:szCs w:val="24"/>
        </w:rPr>
        <w:t>cromatínica</w:t>
      </w:r>
      <w:proofErr w:type="spellEnd"/>
      <w:r>
        <w:rPr>
          <w:rFonts w:ascii="Arial" w:eastAsia="Arial" w:hAnsi="Arial" w:cs="Arial"/>
          <w:sz w:val="24"/>
          <w:szCs w:val="24"/>
        </w:rPr>
        <w:t xml:space="preserve"> como PBRM1, BAP1 y SETD2 contribuyen a la heterogeneidad molecular del tumor. Estas alteraciones favorecen la angiogénesis tumoral, la activación de vías de señalización oncogénica y la modulación del microambiente inmune, elementos clave en la biología del carcinoma renal de células claras.</w:t>
      </w:r>
    </w:p>
    <w:p w14:paraId="622063C2" w14:textId="77777777" w:rsidR="004A7D55" w:rsidRDefault="007A4A91">
      <w:pPr>
        <w:rPr>
          <w:rFonts w:ascii="Arial" w:eastAsia="Arial" w:hAnsi="Arial" w:cs="Arial"/>
          <w:b/>
          <w:bCs/>
          <w:sz w:val="24"/>
          <w:szCs w:val="24"/>
        </w:rPr>
      </w:pPr>
      <w:r>
        <w:rPr>
          <w:rFonts w:ascii="Arial" w:eastAsia="Arial" w:hAnsi="Arial" w:cs="Arial"/>
          <w:b/>
          <w:bCs/>
          <w:sz w:val="24"/>
          <w:szCs w:val="24"/>
        </w:rPr>
        <w:t>Terapia sistémica en carcinoma renal metastásico</w:t>
      </w:r>
    </w:p>
    <w:p w14:paraId="622063C3" w14:textId="77777777" w:rsidR="004A7D55" w:rsidRDefault="007A4A91">
      <w:pPr>
        <w:rPr>
          <w:rFonts w:ascii="Arial" w:eastAsia="Arial" w:hAnsi="Arial" w:cs="Arial"/>
          <w:sz w:val="24"/>
          <w:szCs w:val="24"/>
        </w:rPr>
      </w:pPr>
      <w:r>
        <w:rPr>
          <w:rFonts w:ascii="Arial" w:eastAsia="Arial" w:hAnsi="Arial" w:cs="Arial"/>
          <w:sz w:val="24"/>
          <w:szCs w:val="24"/>
        </w:rPr>
        <w:t>El tratamiento sistémico del CCR metastásico ha experimentado una transformación significativa en la última década. Históricamente, el manejo de esta enfermedad se basaba en terapias dirigidas contra la angiogénesis, particularmente inhibidores de tirosina quinasa (TKI) dirigidos contra la vía del VEGF. Sin embargo, la introducción de ICI y su combinación con terapias dirigidas ha modificado sustancialmente el paradigma terapéutico, mejorando los resultados clínicos en términos de supervivencia global, supe</w:t>
      </w:r>
      <w:r>
        <w:rPr>
          <w:rFonts w:ascii="Arial" w:eastAsia="Arial" w:hAnsi="Arial" w:cs="Arial"/>
          <w:sz w:val="24"/>
          <w:szCs w:val="24"/>
        </w:rPr>
        <w:t>rvivencia libre de progresión y tasas de respuesta objetiva (Figura 2).</w:t>
      </w:r>
    </w:p>
    <w:p w14:paraId="622063C4" w14:textId="77777777" w:rsidR="004A7D55" w:rsidRDefault="007A4A91">
      <w:pPr>
        <w:rPr>
          <w:rFonts w:ascii="Arial" w:eastAsia="Arial" w:hAnsi="Arial" w:cs="Arial"/>
          <w:sz w:val="24"/>
          <w:szCs w:val="24"/>
        </w:rPr>
      </w:pPr>
      <w:r>
        <w:rPr>
          <w:rFonts w:ascii="Arial" w:eastAsia="Arial" w:hAnsi="Arial" w:cs="Arial"/>
          <w:sz w:val="24"/>
          <w:szCs w:val="24"/>
        </w:rPr>
        <w:t xml:space="preserve">Uno de los primeros estudios que estableció el papel de la inmunoterapia combinada en el carcinoma renal metastásico fue el ensayo </w:t>
      </w:r>
      <w:proofErr w:type="spellStart"/>
      <w:r>
        <w:rPr>
          <w:rFonts w:ascii="Arial" w:eastAsia="Arial" w:hAnsi="Arial" w:cs="Arial"/>
          <w:sz w:val="24"/>
          <w:szCs w:val="24"/>
        </w:rPr>
        <w:t>CheckMate</w:t>
      </w:r>
      <w:proofErr w:type="spellEnd"/>
      <w:r>
        <w:rPr>
          <w:rFonts w:ascii="Arial" w:eastAsia="Arial" w:hAnsi="Arial" w:cs="Arial"/>
          <w:sz w:val="24"/>
          <w:szCs w:val="24"/>
        </w:rPr>
        <w:t xml:space="preserve"> 214, que comparó la combinación de </w:t>
      </w:r>
      <w:proofErr w:type="spellStart"/>
      <w:r>
        <w:rPr>
          <w:rFonts w:ascii="Arial" w:eastAsia="Arial" w:hAnsi="Arial" w:cs="Arial"/>
          <w:sz w:val="24"/>
          <w:szCs w:val="24"/>
        </w:rPr>
        <w:t>Nivolumab</w:t>
      </w:r>
      <w:proofErr w:type="spellEnd"/>
      <w:r>
        <w:rPr>
          <w:rFonts w:ascii="Arial" w:eastAsia="Arial" w:hAnsi="Arial" w:cs="Arial"/>
          <w:sz w:val="24"/>
          <w:szCs w:val="24"/>
        </w:rPr>
        <w:t xml:space="preserve"> e Ipilimumab con </w:t>
      </w:r>
      <w:proofErr w:type="spellStart"/>
      <w:r>
        <w:rPr>
          <w:rFonts w:ascii="Arial" w:eastAsia="Arial" w:hAnsi="Arial" w:cs="Arial"/>
          <w:sz w:val="24"/>
          <w:szCs w:val="24"/>
        </w:rPr>
        <w:t>Sunitinib</w:t>
      </w:r>
      <w:proofErr w:type="spellEnd"/>
      <w:r>
        <w:rPr>
          <w:rFonts w:ascii="Arial" w:eastAsia="Arial" w:hAnsi="Arial" w:cs="Arial"/>
          <w:sz w:val="24"/>
          <w:szCs w:val="24"/>
        </w:rPr>
        <w:t xml:space="preserve"> en pacientes previamente no tratados. Este estudio demostró una mejora significativa en la supervivencia global y en la tasa de respuesta objetiva en pacientes con enfermedad de riesgo intermedio o pobre según el modelo ¨International </w:t>
      </w:r>
      <w:proofErr w:type="spellStart"/>
      <w:r>
        <w:rPr>
          <w:rFonts w:ascii="Arial" w:eastAsia="Arial" w:hAnsi="Arial" w:cs="Arial"/>
          <w:sz w:val="24"/>
          <w:szCs w:val="24"/>
        </w:rPr>
        <w:t>Metastatic</w:t>
      </w:r>
      <w:proofErr w:type="spellEnd"/>
      <w:r>
        <w:rPr>
          <w:rFonts w:ascii="Arial" w:eastAsia="Arial" w:hAnsi="Arial" w:cs="Arial"/>
          <w:sz w:val="24"/>
          <w:szCs w:val="24"/>
        </w:rPr>
        <w:t xml:space="preserve"> Renal Cell Carcinoma Database </w:t>
      </w:r>
      <w:proofErr w:type="spellStart"/>
      <w:r>
        <w:rPr>
          <w:rFonts w:ascii="Arial" w:eastAsia="Arial" w:hAnsi="Arial" w:cs="Arial"/>
          <w:sz w:val="24"/>
          <w:szCs w:val="24"/>
        </w:rPr>
        <w:t>Consortium</w:t>
      </w:r>
      <w:proofErr w:type="spellEnd"/>
      <w:r>
        <w:rPr>
          <w:rFonts w:ascii="Arial" w:eastAsia="Arial" w:hAnsi="Arial" w:cs="Arial"/>
          <w:sz w:val="24"/>
          <w:szCs w:val="24"/>
        </w:rPr>
        <w:t>¨ (IMDC), consolidando la combinación de inmunoterapia dual como una opción estándar de primera línea en este grupo de pacientes [12].</w:t>
      </w:r>
    </w:p>
    <w:p w14:paraId="622063C5" w14:textId="57076981" w:rsidR="004A7D55" w:rsidRDefault="007A4A91">
      <w:pPr>
        <w:rPr>
          <w:rFonts w:ascii="Arial" w:eastAsia="Arial" w:hAnsi="Arial" w:cs="Arial"/>
          <w:sz w:val="24"/>
          <w:szCs w:val="24"/>
        </w:rPr>
      </w:pPr>
      <w:r>
        <w:rPr>
          <w:rFonts w:ascii="Arial" w:eastAsia="Arial" w:hAnsi="Arial" w:cs="Arial"/>
          <w:sz w:val="24"/>
          <w:szCs w:val="24"/>
        </w:rPr>
        <w:t xml:space="preserve">Posteriormente, múltiples ensayos clínicos de fase III evaluaron la combinación de ICI con ITK. El estudio KEYNOTE-426 demostró que la combinación de </w:t>
      </w:r>
      <w:proofErr w:type="spellStart"/>
      <w:r>
        <w:rPr>
          <w:rFonts w:ascii="Arial" w:eastAsia="Arial" w:hAnsi="Arial" w:cs="Arial"/>
          <w:sz w:val="24"/>
          <w:szCs w:val="24"/>
        </w:rPr>
        <w:t>Pembrolizumab</w:t>
      </w:r>
      <w:proofErr w:type="spellEnd"/>
      <w:r>
        <w:rPr>
          <w:rFonts w:ascii="Arial" w:eastAsia="Arial" w:hAnsi="Arial" w:cs="Arial"/>
          <w:sz w:val="24"/>
          <w:szCs w:val="24"/>
        </w:rPr>
        <w:t xml:space="preserve"> y </w:t>
      </w:r>
      <w:proofErr w:type="spellStart"/>
      <w:r>
        <w:rPr>
          <w:rFonts w:ascii="Arial" w:eastAsia="Arial" w:hAnsi="Arial" w:cs="Arial"/>
          <w:sz w:val="24"/>
          <w:szCs w:val="24"/>
        </w:rPr>
        <w:t>Axitinib</w:t>
      </w:r>
      <w:proofErr w:type="spellEnd"/>
      <w:r>
        <w:rPr>
          <w:rFonts w:ascii="Arial" w:eastAsia="Arial" w:hAnsi="Arial" w:cs="Arial"/>
          <w:sz w:val="24"/>
          <w:szCs w:val="24"/>
        </w:rPr>
        <w:t xml:space="preserve"> se asociaba con mejoras significativas en supervivencia global, supervivencia libre de progresión y tasa de respuesta objetiva en comparación con </w:t>
      </w:r>
      <w:proofErr w:type="spellStart"/>
      <w:r>
        <w:rPr>
          <w:rFonts w:ascii="Arial" w:eastAsia="Arial" w:hAnsi="Arial" w:cs="Arial"/>
          <w:sz w:val="24"/>
          <w:szCs w:val="24"/>
        </w:rPr>
        <w:t>Sunitinib</w:t>
      </w:r>
      <w:proofErr w:type="spellEnd"/>
      <w:r>
        <w:rPr>
          <w:rFonts w:ascii="Arial" w:eastAsia="Arial" w:hAnsi="Arial" w:cs="Arial"/>
          <w:sz w:val="24"/>
          <w:szCs w:val="24"/>
        </w:rPr>
        <w:t xml:space="preserve"> en pacientes con </w:t>
      </w:r>
      <w:r w:rsidR="008C4660">
        <w:rPr>
          <w:rFonts w:ascii="Arial" w:eastAsia="Arial" w:hAnsi="Arial" w:cs="Arial"/>
          <w:sz w:val="24"/>
          <w:szCs w:val="24"/>
        </w:rPr>
        <w:t>CCR</w:t>
      </w:r>
      <w:r>
        <w:rPr>
          <w:rFonts w:ascii="Arial" w:eastAsia="Arial" w:hAnsi="Arial" w:cs="Arial"/>
          <w:sz w:val="24"/>
          <w:szCs w:val="24"/>
        </w:rPr>
        <w:t xml:space="preserve"> avanzado previamente no tratado [13]. De manera similar, el ensayo JAVELIN Renal 101 evaluó la combinación de </w:t>
      </w:r>
      <w:proofErr w:type="spellStart"/>
      <w:r>
        <w:rPr>
          <w:rFonts w:ascii="Arial" w:eastAsia="Arial" w:hAnsi="Arial" w:cs="Arial"/>
          <w:sz w:val="24"/>
          <w:szCs w:val="24"/>
        </w:rPr>
        <w:t>Avelumab</w:t>
      </w:r>
      <w:proofErr w:type="spellEnd"/>
      <w:r>
        <w:rPr>
          <w:rFonts w:ascii="Arial" w:eastAsia="Arial" w:hAnsi="Arial" w:cs="Arial"/>
          <w:sz w:val="24"/>
          <w:szCs w:val="24"/>
        </w:rPr>
        <w:t xml:space="preserve"> y </w:t>
      </w:r>
      <w:proofErr w:type="spellStart"/>
      <w:r>
        <w:rPr>
          <w:rFonts w:ascii="Arial" w:eastAsia="Arial" w:hAnsi="Arial" w:cs="Arial"/>
          <w:sz w:val="24"/>
          <w:szCs w:val="24"/>
        </w:rPr>
        <w:t>Axitinib</w:t>
      </w:r>
      <w:proofErr w:type="spellEnd"/>
      <w:r>
        <w:rPr>
          <w:rFonts w:ascii="Arial" w:eastAsia="Arial" w:hAnsi="Arial" w:cs="Arial"/>
          <w:sz w:val="24"/>
          <w:szCs w:val="24"/>
        </w:rPr>
        <w:t xml:space="preserve"> frente a </w:t>
      </w:r>
      <w:proofErr w:type="spellStart"/>
      <w:r>
        <w:rPr>
          <w:rFonts w:ascii="Arial" w:eastAsia="Arial" w:hAnsi="Arial" w:cs="Arial"/>
          <w:sz w:val="24"/>
          <w:szCs w:val="24"/>
        </w:rPr>
        <w:t>Sunitinib</w:t>
      </w:r>
      <w:proofErr w:type="spellEnd"/>
      <w:r>
        <w:rPr>
          <w:rFonts w:ascii="Arial" w:eastAsia="Arial" w:hAnsi="Arial" w:cs="Arial"/>
          <w:sz w:val="24"/>
          <w:szCs w:val="24"/>
        </w:rPr>
        <w:t>, mostrando un beneficio en supervivencia libre de progresión y una mayor tasa de respuesta objetiva en la población con expresión de PD-L1 [14].</w:t>
      </w:r>
    </w:p>
    <w:p w14:paraId="622063C6" w14:textId="77777777" w:rsidR="004A7D55" w:rsidRDefault="007A4A91">
      <w:pPr>
        <w:rPr>
          <w:rFonts w:ascii="Arial" w:eastAsia="Arial" w:hAnsi="Arial" w:cs="Arial"/>
          <w:sz w:val="24"/>
          <w:szCs w:val="24"/>
        </w:rPr>
      </w:pPr>
      <w:r>
        <w:rPr>
          <w:rFonts w:ascii="Arial" w:eastAsia="Arial" w:hAnsi="Arial" w:cs="Arial"/>
          <w:sz w:val="24"/>
          <w:szCs w:val="24"/>
        </w:rPr>
        <w:t xml:space="preserve">Más recientemente, otras combinaciones de ICI y terapias dirigidas han demostrado resultados clínicos altamente favorables. El estudio </w:t>
      </w:r>
      <w:proofErr w:type="spellStart"/>
      <w:r>
        <w:rPr>
          <w:rFonts w:ascii="Arial" w:eastAsia="Arial" w:hAnsi="Arial" w:cs="Arial"/>
          <w:sz w:val="24"/>
          <w:szCs w:val="24"/>
        </w:rPr>
        <w:t>CheckMate</w:t>
      </w:r>
      <w:proofErr w:type="spellEnd"/>
      <w:r>
        <w:rPr>
          <w:rFonts w:ascii="Arial" w:eastAsia="Arial" w:hAnsi="Arial" w:cs="Arial"/>
          <w:sz w:val="24"/>
          <w:szCs w:val="24"/>
        </w:rPr>
        <w:t xml:space="preserve"> 9ER mostró que la combinación de </w:t>
      </w:r>
      <w:proofErr w:type="spellStart"/>
      <w:r>
        <w:rPr>
          <w:rFonts w:ascii="Arial" w:eastAsia="Arial" w:hAnsi="Arial" w:cs="Arial"/>
          <w:sz w:val="24"/>
          <w:szCs w:val="24"/>
        </w:rPr>
        <w:t>Nivolumab</w:t>
      </w:r>
      <w:proofErr w:type="spellEnd"/>
      <w:r>
        <w:rPr>
          <w:rFonts w:ascii="Arial" w:eastAsia="Arial" w:hAnsi="Arial" w:cs="Arial"/>
          <w:sz w:val="24"/>
          <w:szCs w:val="24"/>
        </w:rPr>
        <w:t xml:space="preserve"> y </w:t>
      </w:r>
      <w:proofErr w:type="spellStart"/>
      <w:r>
        <w:rPr>
          <w:rFonts w:ascii="Arial" w:eastAsia="Arial" w:hAnsi="Arial" w:cs="Arial"/>
          <w:sz w:val="24"/>
          <w:szCs w:val="24"/>
        </w:rPr>
        <w:t>Cabozantinib</w:t>
      </w:r>
      <w:proofErr w:type="spellEnd"/>
      <w:r>
        <w:rPr>
          <w:rFonts w:ascii="Arial" w:eastAsia="Arial" w:hAnsi="Arial" w:cs="Arial"/>
          <w:sz w:val="24"/>
          <w:szCs w:val="24"/>
        </w:rPr>
        <w:t xml:space="preserve"> mejoró significativamente la supervivencia global, la supervivencia libre de progresión y la tasa de respuesta objetiva en comparación con </w:t>
      </w:r>
      <w:proofErr w:type="spellStart"/>
      <w:r>
        <w:rPr>
          <w:rFonts w:ascii="Arial" w:eastAsia="Arial" w:hAnsi="Arial" w:cs="Arial"/>
          <w:sz w:val="24"/>
          <w:szCs w:val="24"/>
        </w:rPr>
        <w:t>Sunitinib</w:t>
      </w:r>
      <w:proofErr w:type="spellEnd"/>
      <w:r>
        <w:rPr>
          <w:rFonts w:ascii="Arial" w:eastAsia="Arial" w:hAnsi="Arial" w:cs="Arial"/>
          <w:sz w:val="24"/>
          <w:szCs w:val="24"/>
        </w:rPr>
        <w:t xml:space="preserve"> [15]. De manera comparable, el ensayo CLEAR evaluó la </w:t>
      </w:r>
      <w:r>
        <w:rPr>
          <w:rFonts w:ascii="Arial" w:eastAsia="Arial" w:hAnsi="Arial" w:cs="Arial"/>
          <w:sz w:val="24"/>
          <w:szCs w:val="24"/>
        </w:rPr>
        <w:lastRenderedPageBreak/>
        <w:t xml:space="preserve">combinación de </w:t>
      </w:r>
      <w:proofErr w:type="spellStart"/>
      <w:r>
        <w:rPr>
          <w:rFonts w:ascii="Arial" w:eastAsia="Arial" w:hAnsi="Arial" w:cs="Arial"/>
          <w:sz w:val="24"/>
          <w:szCs w:val="24"/>
        </w:rPr>
        <w:t>Lenvatinib</w:t>
      </w:r>
      <w:proofErr w:type="spellEnd"/>
      <w:r>
        <w:rPr>
          <w:rFonts w:ascii="Arial" w:eastAsia="Arial" w:hAnsi="Arial" w:cs="Arial"/>
          <w:sz w:val="24"/>
          <w:szCs w:val="24"/>
        </w:rPr>
        <w:t xml:space="preserve"> y </w:t>
      </w:r>
      <w:proofErr w:type="spellStart"/>
      <w:r>
        <w:rPr>
          <w:rFonts w:ascii="Arial" w:eastAsia="Arial" w:hAnsi="Arial" w:cs="Arial"/>
          <w:sz w:val="24"/>
          <w:szCs w:val="24"/>
        </w:rPr>
        <w:t>Pembrolizumab</w:t>
      </w:r>
      <w:proofErr w:type="spellEnd"/>
      <w:r>
        <w:rPr>
          <w:rFonts w:ascii="Arial" w:eastAsia="Arial" w:hAnsi="Arial" w:cs="Arial"/>
          <w:sz w:val="24"/>
          <w:szCs w:val="24"/>
        </w:rPr>
        <w:t xml:space="preserve">, evidenciando mejoras significativas en supervivencia libre de progresión, supervivencia global y respuesta objetiva frente a </w:t>
      </w:r>
      <w:proofErr w:type="spellStart"/>
      <w:r>
        <w:rPr>
          <w:rFonts w:ascii="Arial" w:eastAsia="Arial" w:hAnsi="Arial" w:cs="Arial"/>
          <w:sz w:val="24"/>
          <w:szCs w:val="24"/>
        </w:rPr>
        <w:t>Sunitinib</w:t>
      </w:r>
      <w:proofErr w:type="spellEnd"/>
      <w:r>
        <w:rPr>
          <w:rFonts w:ascii="Arial" w:eastAsia="Arial" w:hAnsi="Arial" w:cs="Arial"/>
          <w:sz w:val="24"/>
          <w:szCs w:val="24"/>
        </w:rPr>
        <w:t xml:space="preserve"> [16].</w:t>
      </w:r>
    </w:p>
    <w:p w14:paraId="622063C7" w14:textId="6AED8AD6" w:rsidR="004A7D55" w:rsidRDefault="007A4A91">
      <w:pPr>
        <w:rPr>
          <w:rFonts w:ascii="Arial" w:eastAsia="Arial" w:hAnsi="Arial" w:cs="Arial"/>
          <w:sz w:val="24"/>
          <w:szCs w:val="24"/>
        </w:rPr>
      </w:pPr>
      <w:r>
        <w:rPr>
          <w:rFonts w:ascii="Arial" w:eastAsia="Arial" w:hAnsi="Arial" w:cs="Arial"/>
          <w:sz w:val="24"/>
          <w:szCs w:val="24"/>
        </w:rPr>
        <w:t xml:space="preserve">En conjunto, estos estudios consolidaron las combinaciones de ICI con TKI como una de las estrategias terapéuticas predominantes en la primera línea de tratamiento del </w:t>
      </w:r>
      <w:r w:rsidR="00AB67F1">
        <w:rPr>
          <w:rFonts w:ascii="Arial" w:eastAsia="Arial" w:hAnsi="Arial" w:cs="Arial"/>
          <w:sz w:val="24"/>
          <w:szCs w:val="24"/>
        </w:rPr>
        <w:t>CCR</w:t>
      </w:r>
      <w:r>
        <w:rPr>
          <w:rFonts w:ascii="Arial" w:eastAsia="Arial" w:hAnsi="Arial" w:cs="Arial"/>
          <w:sz w:val="24"/>
          <w:szCs w:val="24"/>
        </w:rPr>
        <w:t xml:space="preserve"> metastásico. La elección entre inmunoterapia dual (ICI+ICI) o combinaciones de inmunoterapia con terapia dirigida (ICI+TKI) depende de múltiples factores clínicos, incluyendo el perfil de riesgo según el modelo IMDC, las comorbilidades del paciente y el perfil de toxicidad esperado.</w:t>
      </w:r>
    </w:p>
    <w:p w14:paraId="622063C8" w14:textId="77777777" w:rsidR="004A7D55" w:rsidRDefault="007A4A91">
      <w:pPr>
        <w:rPr>
          <w:rFonts w:ascii="Arial" w:eastAsia="Arial" w:hAnsi="Arial" w:cs="Arial"/>
          <w:sz w:val="24"/>
          <w:szCs w:val="24"/>
        </w:rPr>
      </w:pPr>
      <w:r>
        <w:rPr>
          <w:rFonts w:ascii="Arial" w:eastAsia="Arial" w:hAnsi="Arial" w:cs="Arial"/>
          <w:sz w:val="24"/>
          <w:szCs w:val="24"/>
        </w:rPr>
        <w:t xml:space="preserve">En líneas posteriores de tratamiento, los TKI continúan desempeñando un papel relevante. El ensayo METEOR demostró que </w:t>
      </w:r>
      <w:proofErr w:type="spellStart"/>
      <w:r>
        <w:rPr>
          <w:rFonts w:ascii="Arial" w:eastAsia="Arial" w:hAnsi="Arial" w:cs="Arial"/>
          <w:sz w:val="24"/>
          <w:szCs w:val="24"/>
        </w:rPr>
        <w:t>Cabozantinib</w:t>
      </w:r>
      <w:proofErr w:type="spellEnd"/>
      <w:r>
        <w:rPr>
          <w:rFonts w:ascii="Arial" w:eastAsia="Arial" w:hAnsi="Arial" w:cs="Arial"/>
          <w:sz w:val="24"/>
          <w:szCs w:val="24"/>
        </w:rPr>
        <w:t xml:space="preserve"> mejoraba significativamente la supervivencia libre de progresión y la supervivencia global en comparación con </w:t>
      </w:r>
      <w:proofErr w:type="spellStart"/>
      <w:r>
        <w:rPr>
          <w:rFonts w:ascii="Arial" w:eastAsia="Arial" w:hAnsi="Arial" w:cs="Arial"/>
          <w:sz w:val="24"/>
          <w:szCs w:val="24"/>
        </w:rPr>
        <w:t>Everolimus</w:t>
      </w:r>
      <w:proofErr w:type="spellEnd"/>
      <w:r>
        <w:rPr>
          <w:rFonts w:ascii="Arial" w:eastAsia="Arial" w:hAnsi="Arial" w:cs="Arial"/>
          <w:sz w:val="24"/>
          <w:szCs w:val="24"/>
        </w:rPr>
        <w:t xml:space="preserve"> en pacientes previamente tratados con terapia </w:t>
      </w:r>
      <w:proofErr w:type="spellStart"/>
      <w:r>
        <w:rPr>
          <w:rFonts w:ascii="Arial" w:eastAsia="Arial" w:hAnsi="Arial" w:cs="Arial"/>
          <w:sz w:val="24"/>
          <w:szCs w:val="24"/>
        </w:rPr>
        <w:t>antiangiogénica</w:t>
      </w:r>
      <w:proofErr w:type="spellEnd"/>
      <w:r>
        <w:rPr>
          <w:rFonts w:ascii="Arial" w:eastAsia="Arial" w:hAnsi="Arial" w:cs="Arial"/>
          <w:sz w:val="24"/>
          <w:szCs w:val="24"/>
        </w:rPr>
        <w:t xml:space="preserve"> [17]. Estos resultados consolidaron el uso de </w:t>
      </w:r>
      <w:proofErr w:type="spellStart"/>
      <w:r>
        <w:rPr>
          <w:rFonts w:ascii="Arial" w:eastAsia="Arial" w:hAnsi="Arial" w:cs="Arial"/>
          <w:sz w:val="24"/>
          <w:szCs w:val="24"/>
        </w:rPr>
        <w:t>Cabozantinib</w:t>
      </w:r>
      <w:proofErr w:type="spellEnd"/>
      <w:r>
        <w:rPr>
          <w:rFonts w:ascii="Arial" w:eastAsia="Arial" w:hAnsi="Arial" w:cs="Arial"/>
          <w:sz w:val="24"/>
          <w:szCs w:val="24"/>
        </w:rPr>
        <w:t xml:space="preserve"> como una opción terapéutica eficaz tras progresión a terapias dirigidas previas.</w:t>
      </w:r>
    </w:p>
    <w:p w14:paraId="622063C9" w14:textId="77777777" w:rsidR="004A7D55" w:rsidRDefault="007A4A91">
      <w:pPr>
        <w:rPr>
          <w:rFonts w:ascii="Arial" w:eastAsia="Arial" w:hAnsi="Arial" w:cs="Arial"/>
          <w:sz w:val="24"/>
          <w:szCs w:val="24"/>
        </w:rPr>
      </w:pPr>
      <w:r>
        <w:rPr>
          <w:rFonts w:ascii="Arial" w:eastAsia="Arial" w:hAnsi="Arial" w:cs="Arial"/>
          <w:sz w:val="24"/>
          <w:szCs w:val="24"/>
        </w:rPr>
        <w:t>En la actualidad, el manejo terapéutico del carcinoma renal metastásico se basa en una estrategia individualizada que integra factores clínicos, pronósticos y biológicos. Los principales ensayos clínicos que definieron el estándar terapéutico actual se resumen en la Tabla 2, mientras que un esquema simplificado de la toma de decisiones terapéuticas se presenta en la Figura 2.</w:t>
      </w:r>
    </w:p>
    <w:p w14:paraId="622063CA" w14:textId="77777777" w:rsidR="004A7D55" w:rsidRDefault="004A7D55">
      <w:pPr>
        <w:rPr>
          <w:rFonts w:ascii="Arial" w:eastAsia="Arial" w:hAnsi="Arial" w:cs="Arial"/>
          <w:b/>
          <w:bCs/>
          <w:sz w:val="24"/>
          <w:szCs w:val="24"/>
        </w:rPr>
      </w:pPr>
    </w:p>
    <w:p w14:paraId="622063CB" w14:textId="77777777" w:rsidR="004A7D55" w:rsidRDefault="004A7D55">
      <w:pPr>
        <w:rPr>
          <w:rFonts w:ascii="Arial" w:eastAsia="Arial" w:hAnsi="Arial" w:cs="Arial"/>
          <w:b/>
          <w:bCs/>
          <w:sz w:val="24"/>
          <w:szCs w:val="24"/>
        </w:rPr>
      </w:pPr>
    </w:p>
    <w:p w14:paraId="622063CC" w14:textId="77777777" w:rsidR="004A7D55" w:rsidRDefault="004A7D55">
      <w:pPr>
        <w:rPr>
          <w:rFonts w:ascii="Arial" w:eastAsia="Arial" w:hAnsi="Arial" w:cs="Arial"/>
          <w:b/>
          <w:bCs/>
          <w:sz w:val="24"/>
          <w:szCs w:val="24"/>
        </w:rPr>
      </w:pPr>
    </w:p>
    <w:p w14:paraId="622063CD" w14:textId="77777777" w:rsidR="004A7D55" w:rsidRDefault="004A7D55">
      <w:pPr>
        <w:rPr>
          <w:rFonts w:ascii="Arial" w:eastAsia="Arial" w:hAnsi="Arial" w:cs="Arial"/>
          <w:b/>
          <w:bCs/>
          <w:sz w:val="24"/>
          <w:szCs w:val="24"/>
        </w:rPr>
      </w:pPr>
    </w:p>
    <w:p w14:paraId="622063CE" w14:textId="77777777" w:rsidR="004A7D55" w:rsidRDefault="004A7D55">
      <w:pPr>
        <w:rPr>
          <w:rFonts w:ascii="Arial" w:eastAsia="Arial" w:hAnsi="Arial" w:cs="Arial"/>
          <w:b/>
          <w:bCs/>
          <w:sz w:val="24"/>
          <w:szCs w:val="24"/>
        </w:rPr>
      </w:pPr>
    </w:p>
    <w:p w14:paraId="622063CF" w14:textId="77777777" w:rsidR="004A7D55" w:rsidRDefault="004A7D55">
      <w:pPr>
        <w:rPr>
          <w:rFonts w:ascii="Arial" w:eastAsia="Arial" w:hAnsi="Arial" w:cs="Arial"/>
          <w:b/>
          <w:bCs/>
          <w:sz w:val="24"/>
          <w:szCs w:val="24"/>
        </w:rPr>
      </w:pPr>
    </w:p>
    <w:p w14:paraId="622063D0" w14:textId="77777777" w:rsidR="004A7D55" w:rsidRDefault="004A7D55">
      <w:pPr>
        <w:rPr>
          <w:rFonts w:ascii="Arial" w:eastAsia="Arial" w:hAnsi="Arial" w:cs="Arial"/>
          <w:b/>
          <w:bCs/>
          <w:sz w:val="24"/>
          <w:szCs w:val="24"/>
        </w:rPr>
      </w:pPr>
    </w:p>
    <w:p w14:paraId="5319330E" w14:textId="77777777" w:rsidR="00F233D4" w:rsidRDefault="00F233D4">
      <w:pPr>
        <w:rPr>
          <w:rFonts w:ascii="Arial" w:eastAsia="Arial" w:hAnsi="Arial" w:cs="Arial"/>
          <w:b/>
          <w:bCs/>
          <w:sz w:val="24"/>
          <w:szCs w:val="24"/>
        </w:rPr>
      </w:pPr>
    </w:p>
    <w:p w14:paraId="120ADBF5" w14:textId="77777777" w:rsidR="00F233D4" w:rsidRDefault="00F233D4">
      <w:pPr>
        <w:rPr>
          <w:rFonts w:ascii="Arial" w:eastAsia="Arial" w:hAnsi="Arial" w:cs="Arial"/>
          <w:b/>
          <w:bCs/>
          <w:sz w:val="24"/>
          <w:szCs w:val="24"/>
        </w:rPr>
      </w:pPr>
    </w:p>
    <w:p w14:paraId="65992EA1" w14:textId="77777777" w:rsidR="00F233D4" w:rsidRDefault="00F233D4">
      <w:pPr>
        <w:rPr>
          <w:rFonts w:ascii="Arial" w:eastAsia="Arial" w:hAnsi="Arial" w:cs="Arial"/>
          <w:b/>
          <w:bCs/>
          <w:sz w:val="24"/>
          <w:szCs w:val="24"/>
        </w:rPr>
      </w:pPr>
    </w:p>
    <w:p w14:paraId="252F7D8C" w14:textId="77777777" w:rsidR="00F233D4" w:rsidRDefault="00F233D4">
      <w:pPr>
        <w:rPr>
          <w:rFonts w:ascii="Arial" w:eastAsia="Arial" w:hAnsi="Arial" w:cs="Arial"/>
          <w:b/>
          <w:bCs/>
          <w:sz w:val="24"/>
          <w:szCs w:val="24"/>
        </w:rPr>
      </w:pPr>
    </w:p>
    <w:p w14:paraId="7FACD702" w14:textId="77777777" w:rsidR="00F233D4" w:rsidRDefault="00F233D4">
      <w:pPr>
        <w:rPr>
          <w:rFonts w:ascii="Arial" w:eastAsia="Arial" w:hAnsi="Arial" w:cs="Arial"/>
          <w:b/>
          <w:bCs/>
          <w:sz w:val="24"/>
          <w:szCs w:val="24"/>
        </w:rPr>
      </w:pPr>
    </w:p>
    <w:p w14:paraId="2924B993" w14:textId="77777777" w:rsidR="00F233D4" w:rsidRDefault="00F233D4">
      <w:pPr>
        <w:rPr>
          <w:rFonts w:ascii="Arial" w:eastAsia="Arial" w:hAnsi="Arial" w:cs="Arial"/>
          <w:b/>
          <w:bCs/>
          <w:sz w:val="24"/>
          <w:szCs w:val="24"/>
        </w:rPr>
      </w:pPr>
    </w:p>
    <w:p w14:paraId="622063DF" w14:textId="77777777" w:rsidR="004A7D55" w:rsidRDefault="004A7D55">
      <w:pPr>
        <w:rPr>
          <w:rFonts w:ascii="Arial" w:eastAsia="Arial" w:hAnsi="Arial" w:cs="Arial"/>
          <w:b/>
          <w:bCs/>
          <w:sz w:val="24"/>
          <w:szCs w:val="24"/>
        </w:rPr>
      </w:pPr>
    </w:p>
    <w:p w14:paraId="622063E0" w14:textId="77777777" w:rsidR="004A7D55" w:rsidRDefault="007A4A91">
      <w:pPr>
        <w:rPr>
          <w:rFonts w:ascii="Arial" w:eastAsia="Arial" w:hAnsi="Arial" w:cs="Arial"/>
          <w:b/>
          <w:bCs/>
          <w:sz w:val="24"/>
          <w:szCs w:val="24"/>
        </w:rPr>
      </w:pPr>
      <w:r>
        <w:rPr>
          <w:rFonts w:ascii="Arial" w:eastAsia="Arial" w:hAnsi="Arial" w:cs="Arial"/>
          <w:b/>
          <w:bCs/>
          <w:sz w:val="24"/>
          <w:szCs w:val="24"/>
        </w:rPr>
        <w:lastRenderedPageBreak/>
        <w:t xml:space="preserve">Tabla 2. Ensayos clínicos </w:t>
      </w:r>
      <w:proofErr w:type="spellStart"/>
      <w:r>
        <w:rPr>
          <w:rFonts w:ascii="Arial" w:eastAsia="Arial" w:hAnsi="Arial" w:cs="Arial"/>
          <w:b/>
          <w:bCs/>
          <w:sz w:val="24"/>
          <w:szCs w:val="24"/>
        </w:rPr>
        <w:t>pivotales</w:t>
      </w:r>
      <w:proofErr w:type="spellEnd"/>
      <w:r>
        <w:rPr>
          <w:rFonts w:ascii="Arial" w:eastAsia="Arial" w:hAnsi="Arial" w:cs="Arial"/>
          <w:b/>
          <w:bCs/>
          <w:sz w:val="24"/>
          <w:szCs w:val="24"/>
        </w:rPr>
        <w:t xml:space="preserve"> en carcinoma renal metastásico</w:t>
      </w:r>
    </w:p>
    <w:tbl>
      <w:tblPr>
        <w:tblStyle w:val="a0"/>
        <w:tblW w:w="9360" w:type="dxa"/>
        <w:tblInd w:w="0"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1367"/>
        <w:gridCol w:w="608"/>
        <w:gridCol w:w="1575"/>
        <w:gridCol w:w="1689"/>
        <w:gridCol w:w="2013"/>
        <w:gridCol w:w="2108"/>
      </w:tblGrid>
      <w:tr w:rsidR="004A7D55" w14:paraId="622063E7" w14:textId="77777777">
        <w:trPr>
          <w:tblHeader/>
        </w:trPr>
        <w:tc>
          <w:tcPr>
            <w:tcW w:w="1367" w:type="dxa"/>
            <w:vAlign w:val="center"/>
          </w:tcPr>
          <w:p w14:paraId="622063E1" w14:textId="77777777" w:rsidR="004A7D55" w:rsidRDefault="007A4A91">
            <w:pPr>
              <w:jc w:val="center"/>
              <w:rPr>
                <w:rFonts w:ascii="Arial" w:eastAsia="Arial" w:hAnsi="Arial" w:cs="Arial"/>
                <w:b/>
                <w:bCs/>
              </w:rPr>
            </w:pPr>
            <w:r>
              <w:rPr>
                <w:rFonts w:ascii="Arial" w:eastAsia="Arial" w:hAnsi="Arial" w:cs="Arial"/>
                <w:b/>
                <w:bCs/>
              </w:rPr>
              <w:t>Ensayo</w:t>
            </w:r>
          </w:p>
        </w:tc>
        <w:tc>
          <w:tcPr>
            <w:tcW w:w="608" w:type="dxa"/>
            <w:vAlign w:val="center"/>
          </w:tcPr>
          <w:p w14:paraId="622063E2" w14:textId="77777777" w:rsidR="004A7D55" w:rsidRDefault="007A4A91">
            <w:pPr>
              <w:jc w:val="center"/>
              <w:rPr>
                <w:rFonts w:ascii="Arial" w:eastAsia="Arial" w:hAnsi="Arial" w:cs="Arial"/>
                <w:b/>
                <w:bCs/>
              </w:rPr>
            </w:pPr>
            <w:r>
              <w:rPr>
                <w:rFonts w:ascii="Arial" w:eastAsia="Arial" w:hAnsi="Arial" w:cs="Arial"/>
                <w:b/>
                <w:bCs/>
              </w:rPr>
              <w:t>Fase</w:t>
            </w:r>
          </w:p>
        </w:tc>
        <w:tc>
          <w:tcPr>
            <w:tcW w:w="1575" w:type="dxa"/>
            <w:vAlign w:val="center"/>
          </w:tcPr>
          <w:p w14:paraId="622063E3" w14:textId="77777777" w:rsidR="004A7D55" w:rsidRDefault="007A4A91">
            <w:pPr>
              <w:jc w:val="center"/>
              <w:rPr>
                <w:rFonts w:ascii="Arial" w:eastAsia="Arial" w:hAnsi="Arial" w:cs="Arial"/>
                <w:b/>
                <w:bCs/>
              </w:rPr>
            </w:pPr>
            <w:r>
              <w:rPr>
                <w:rFonts w:ascii="Arial" w:eastAsia="Arial" w:hAnsi="Arial" w:cs="Arial"/>
                <w:b/>
                <w:bCs/>
              </w:rPr>
              <w:t>Población</w:t>
            </w:r>
          </w:p>
        </w:tc>
        <w:tc>
          <w:tcPr>
            <w:tcW w:w="1689" w:type="dxa"/>
            <w:vAlign w:val="center"/>
          </w:tcPr>
          <w:p w14:paraId="622063E4" w14:textId="77777777" w:rsidR="004A7D55" w:rsidRDefault="007A4A91">
            <w:pPr>
              <w:jc w:val="center"/>
              <w:rPr>
                <w:rFonts w:ascii="Arial" w:eastAsia="Arial" w:hAnsi="Arial" w:cs="Arial"/>
                <w:b/>
                <w:bCs/>
              </w:rPr>
            </w:pPr>
            <w:r>
              <w:rPr>
                <w:rFonts w:ascii="Arial" w:eastAsia="Arial" w:hAnsi="Arial" w:cs="Arial"/>
                <w:b/>
                <w:bCs/>
              </w:rPr>
              <w:t>Comparación</w:t>
            </w:r>
          </w:p>
        </w:tc>
        <w:tc>
          <w:tcPr>
            <w:tcW w:w="2013" w:type="dxa"/>
            <w:vAlign w:val="center"/>
          </w:tcPr>
          <w:p w14:paraId="622063E5" w14:textId="77777777" w:rsidR="004A7D55" w:rsidRDefault="007A4A91">
            <w:pPr>
              <w:jc w:val="center"/>
              <w:rPr>
                <w:rFonts w:ascii="Arial" w:eastAsia="Arial" w:hAnsi="Arial" w:cs="Arial"/>
                <w:b/>
                <w:bCs/>
              </w:rPr>
            </w:pPr>
            <w:r>
              <w:rPr>
                <w:rFonts w:ascii="Arial" w:eastAsia="Arial" w:hAnsi="Arial" w:cs="Arial"/>
                <w:b/>
                <w:bCs/>
              </w:rPr>
              <w:t>Hallazgo principal</w:t>
            </w:r>
          </w:p>
        </w:tc>
        <w:tc>
          <w:tcPr>
            <w:tcW w:w="2108" w:type="dxa"/>
            <w:vAlign w:val="center"/>
          </w:tcPr>
          <w:p w14:paraId="622063E6" w14:textId="77777777" w:rsidR="004A7D55" w:rsidRDefault="007A4A91">
            <w:pPr>
              <w:jc w:val="center"/>
              <w:rPr>
                <w:rFonts w:ascii="Arial" w:eastAsia="Arial" w:hAnsi="Arial" w:cs="Arial"/>
                <w:b/>
                <w:bCs/>
              </w:rPr>
            </w:pPr>
            <w:r>
              <w:rPr>
                <w:rFonts w:ascii="Arial" w:eastAsia="Arial" w:hAnsi="Arial" w:cs="Arial"/>
                <w:b/>
                <w:bCs/>
              </w:rPr>
              <w:t>Impacto clínico</w:t>
            </w:r>
          </w:p>
        </w:tc>
      </w:tr>
      <w:tr w:rsidR="004A7D55" w14:paraId="622063EE" w14:textId="77777777">
        <w:tc>
          <w:tcPr>
            <w:tcW w:w="1367" w:type="dxa"/>
            <w:vAlign w:val="center"/>
          </w:tcPr>
          <w:p w14:paraId="622063E8" w14:textId="77777777" w:rsidR="004A7D55" w:rsidRDefault="007A4A91">
            <w:pPr>
              <w:jc w:val="center"/>
              <w:rPr>
                <w:rFonts w:ascii="Arial" w:eastAsia="Arial" w:hAnsi="Arial" w:cs="Arial"/>
                <w:b/>
                <w:bCs/>
              </w:rPr>
            </w:pPr>
            <w:proofErr w:type="spellStart"/>
            <w:r>
              <w:rPr>
                <w:rFonts w:ascii="Arial" w:eastAsia="Arial" w:hAnsi="Arial" w:cs="Arial"/>
                <w:b/>
                <w:bCs/>
              </w:rPr>
              <w:t>CheckMate</w:t>
            </w:r>
            <w:proofErr w:type="spellEnd"/>
            <w:r>
              <w:rPr>
                <w:rFonts w:ascii="Arial" w:eastAsia="Arial" w:hAnsi="Arial" w:cs="Arial"/>
                <w:b/>
                <w:bCs/>
              </w:rPr>
              <w:t xml:space="preserve"> 214</w:t>
            </w:r>
          </w:p>
        </w:tc>
        <w:tc>
          <w:tcPr>
            <w:tcW w:w="608" w:type="dxa"/>
            <w:vAlign w:val="center"/>
          </w:tcPr>
          <w:p w14:paraId="622063E9" w14:textId="77777777" w:rsidR="004A7D55" w:rsidRDefault="007A4A91">
            <w:pPr>
              <w:jc w:val="center"/>
              <w:rPr>
                <w:rFonts w:ascii="Arial" w:eastAsia="Arial" w:hAnsi="Arial" w:cs="Arial"/>
              </w:rPr>
            </w:pPr>
            <w:r>
              <w:rPr>
                <w:rFonts w:ascii="Arial" w:eastAsia="Arial" w:hAnsi="Arial" w:cs="Arial"/>
              </w:rPr>
              <w:t>III</w:t>
            </w:r>
          </w:p>
        </w:tc>
        <w:tc>
          <w:tcPr>
            <w:tcW w:w="1575" w:type="dxa"/>
            <w:vAlign w:val="center"/>
          </w:tcPr>
          <w:p w14:paraId="622063EA" w14:textId="77777777" w:rsidR="004A7D55" w:rsidRDefault="007A4A91">
            <w:pPr>
              <w:jc w:val="center"/>
              <w:rPr>
                <w:rFonts w:ascii="Arial" w:eastAsia="Arial" w:hAnsi="Arial" w:cs="Arial"/>
              </w:rPr>
            </w:pPr>
            <w:r>
              <w:rPr>
                <w:rFonts w:ascii="Arial" w:eastAsia="Arial" w:hAnsi="Arial" w:cs="Arial"/>
              </w:rPr>
              <w:t>CCR avanzado/no tratado, con riesgo intermedio/ pobre</w:t>
            </w:r>
          </w:p>
        </w:tc>
        <w:tc>
          <w:tcPr>
            <w:tcW w:w="1689" w:type="dxa"/>
            <w:vAlign w:val="center"/>
          </w:tcPr>
          <w:p w14:paraId="622063EB" w14:textId="77777777" w:rsidR="004A7D55" w:rsidRDefault="007A4A91">
            <w:pPr>
              <w:jc w:val="center"/>
              <w:rPr>
                <w:rFonts w:ascii="Arial" w:eastAsia="Arial" w:hAnsi="Arial" w:cs="Arial"/>
              </w:rPr>
            </w:pPr>
            <w:r>
              <w:rPr>
                <w:rFonts w:ascii="Arial" w:eastAsia="Arial" w:hAnsi="Arial" w:cs="Arial"/>
              </w:rPr>
              <w:t>NIVO+IPI vs SUNI</w:t>
            </w:r>
          </w:p>
        </w:tc>
        <w:tc>
          <w:tcPr>
            <w:tcW w:w="2013" w:type="dxa"/>
            <w:vAlign w:val="center"/>
          </w:tcPr>
          <w:p w14:paraId="622063EC" w14:textId="77777777" w:rsidR="004A7D55" w:rsidRDefault="007A4A91">
            <w:pPr>
              <w:jc w:val="center"/>
              <w:rPr>
                <w:rFonts w:ascii="Arial" w:eastAsia="Arial" w:hAnsi="Arial" w:cs="Arial"/>
              </w:rPr>
            </w:pPr>
            <w:r>
              <w:rPr>
                <w:rFonts w:ascii="Arial" w:eastAsia="Arial" w:hAnsi="Arial" w:cs="Arial"/>
              </w:rPr>
              <w:t>Mejoró SG y TRO frente a SUNI en pacientes de riesgo intermedio/pobre</w:t>
            </w:r>
          </w:p>
        </w:tc>
        <w:tc>
          <w:tcPr>
            <w:tcW w:w="2108" w:type="dxa"/>
            <w:vAlign w:val="center"/>
          </w:tcPr>
          <w:p w14:paraId="622063ED" w14:textId="77777777" w:rsidR="004A7D55" w:rsidRDefault="007A4A91">
            <w:pPr>
              <w:jc w:val="center"/>
              <w:rPr>
                <w:rFonts w:ascii="Arial" w:eastAsia="Arial" w:hAnsi="Arial" w:cs="Arial"/>
              </w:rPr>
            </w:pPr>
            <w:r>
              <w:rPr>
                <w:rFonts w:ascii="Arial" w:eastAsia="Arial" w:hAnsi="Arial" w:cs="Arial"/>
              </w:rPr>
              <w:t>Estableció ICI+ICI como estándar de primera línea en riesgo intermedio/pobre.</w:t>
            </w:r>
          </w:p>
        </w:tc>
      </w:tr>
      <w:tr w:rsidR="004A7D55" w14:paraId="622063F5" w14:textId="77777777">
        <w:tc>
          <w:tcPr>
            <w:tcW w:w="1367" w:type="dxa"/>
            <w:vAlign w:val="center"/>
          </w:tcPr>
          <w:p w14:paraId="622063EF" w14:textId="77777777" w:rsidR="004A7D55" w:rsidRDefault="007A4A91">
            <w:pPr>
              <w:jc w:val="center"/>
              <w:rPr>
                <w:rFonts w:ascii="Arial" w:eastAsia="Arial" w:hAnsi="Arial" w:cs="Arial"/>
                <w:b/>
                <w:bCs/>
              </w:rPr>
            </w:pPr>
            <w:r>
              <w:rPr>
                <w:rFonts w:ascii="Arial" w:eastAsia="Arial" w:hAnsi="Arial" w:cs="Arial"/>
                <w:b/>
                <w:bCs/>
              </w:rPr>
              <w:t>KEYNOTE-426</w:t>
            </w:r>
          </w:p>
        </w:tc>
        <w:tc>
          <w:tcPr>
            <w:tcW w:w="608" w:type="dxa"/>
            <w:vAlign w:val="center"/>
          </w:tcPr>
          <w:p w14:paraId="622063F0" w14:textId="77777777" w:rsidR="004A7D55" w:rsidRDefault="007A4A91">
            <w:pPr>
              <w:jc w:val="center"/>
              <w:rPr>
                <w:rFonts w:ascii="Arial" w:eastAsia="Arial" w:hAnsi="Arial" w:cs="Arial"/>
              </w:rPr>
            </w:pPr>
            <w:r>
              <w:rPr>
                <w:rFonts w:ascii="Arial" w:eastAsia="Arial" w:hAnsi="Arial" w:cs="Arial"/>
              </w:rPr>
              <w:t>III</w:t>
            </w:r>
          </w:p>
        </w:tc>
        <w:tc>
          <w:tcPr>
            <w:tcW w:w="1575" w:type="dxa"/>
            <w:vAlign w:val="center"/>
          </w:tcPr>
          <w:p w14:paraId="622063F1" w14:textId="77777777" w:rsidR="004A7D55" w:rsidRDefault="007A4A91">
            <w:pPr>
              <w:jc w:val="center"/>
              <w:rPr>
                <w:rFonts w:ascii="Arial" w:eastAsia="Arial" w:hAnsi="Arial" w:cs="Arial"/>
              </w:rPr>
            </w:pPr>
            <w:r>
              <w:rPr>
                <w:rFonts w:ascii="Arial" w:eastAsia="Arial" w:hAnsi="Arial" w:cs="Arial"/>
              </w:rPr>
              <w:t>CCR avanzado/no tratado</w:t>
            </w:r>
          </w:p>
        </w:tc>
        <w:tc>
          <w:tcPr>
            <w:tcW w:w="1689" w:type="dxa"/>
            <w:vAlign w:val="center"/>
          </w:tcPr>
          <w:p w14:paraId="622063F2" w14:textId="77777777" w:rsidR="004A7D55" w:rsidRDefault="007A4A91">
            <w:pPr>
              <w:jc w:val="center"/>
              <w:rPr>
                <w:rFonts w:ascii="Arial" w:eastAsia="Arial" w:hAnsi="Arial" w:cs="Arial"/>
              </w:rPr>
            </w:pPr>
            <w:r>
              <w:rPr>
                <w:rFonts w:ascii="Arial" w:eastAsia="Arial" w:hAnsi="Arial" w:cs="Arial"/>
              </w:rPr>
              <w:t>PEMBRO+ AXI vs SUNI</w:t>
            </w:r>
          </w:p>
        </w:tc>
        <w:tc>
          <w:tcPr>
            <w:tcW w:w="2013" w:type="dxa"/>
            <w:vAlign w:val="center"/>
          </w:tcPr>
          <w:p w14:paraId="622063F3" w14:textId="77777777" w:rsidR="004A7D55" w:rsidRDefault="007A4A91">
            <w:pPr>
              <w:jc w:val="center"/>
              <w:rPr>
                <w:rFonts w:ascii="Arial" w:eastAsia="Arial" w:hAnsi="Arial" w:cs="Arial"/>
              </w:rPr>
            </w:pPr>
            <w:r>
              <w:rPr>
                <w:rFonts w:ascii="Arial" w:eastAsia="Arial" w:hAnsi="Arial" w:cs="Arial"/>
              </w:rPr>
              <w:t>Mejoró SG, SLP y TRO.</w:t>
            </w:r>
          </w:p>
        </w:tc>
        <w:tc>
          <w:tcPr>
            <w:tcW w:w="2108" w:type="dxa"/>
            <w:vAlign w:val="center"/>
          </w:tcPr>
          <w:p w14:paraId="622063F4" w14:textId="77777777" w:rsidR="004A7D55" w:rsidRDefault="007A4A91">
            <w:pPr>
              <w:jc w:val="center"/>
              <w:rPr>
                <w:rFonts w:ascii="Arial" w:eastAsia="Arial" w:hAnsi="Arial" w:cs="Arial"/>
              </w:rPr>
            </w:pPr>
            <w:r>
              <w:rPr>
                <w:rFonts w:ascii="Arial" w:eastAsia="Arial" w:hAnsi="Arial" w:cs="Arial"/>
              </w:rPr>
              <w:t>Consolidó ICI+TKI como estándar de primera línea.</w:t>
            </w:r>
          </w:p>
        </w:tc>
      </w:tr>
      <w:tr w:rsidR="004A7D55" w14:paraId="622063FC" w14:textId="77777777">
        <w:tc>
          <w:tcPr>
            <w:tcW w:w="1367" w:type="dxa"/>
            <w:vAlign w:val="center"/>
          </w:tcPr>
          <w:p w14:paraId="622063F6" w14:textId="77777777" w:rsidR="004A7D55" w:rsidRDefault="007A4A91">
            <w:pPr>
              <w:jc w:val="center"/>
              <w:rPr>
                <w:rFonts w:ascii="Arial" w:eastAsia="Arial" w:hAnsi="Arial" w:cs="Arial"/>
                <w:b/>
                <w:bCs/>
              </w:rPr>
            </w:pPr>
            <w:r>
              <w:rPr>
                <w:rFonts w:ascii="Arial" w:eastAsia="Arial" w:hAnsi="Arial" w:cs="Arial"/>
                <w:b/>
                <w:bCs/>
              </w:rPr>
              <w:t>JAVELIN Renal 101</w:t>
            </w:r>
          </w:p>
        </w:tc>
        <w:tc>
          <w:tcPr>
            <w:tcW w:w="608" w:type="dxa"/>
            <w:vAlign w:val="center"/>
          </w:tcPr>
          <w:p w14:paraId="622063F7" w14:textId="77777777" w:rsidR="004A7D55" w:rsidRDefault="007A4A91">
            <w:pPr>
              <w:jc w:val="center"/>
              <w:rPr>
                <w:rFonts w:ascii="Arial" w:eastAsia="Arial" w:hAnsi="Arial" w:cs="Arial"/>
              </w:rPr>
            </w:pPr>
            <w:r>
              <w:rPr>
                <w:rFonts w:ascii="Arial" w:eastAsia="Arial" w:hAnsi="Arial" w:cs="Arial"/>
              </w:rPr>
              <w:t>III</w:t>
            </w:r>
          </w:p>
        </w:tc>
        <w:tc>
          <w:tcPr>
            <w:tcW w:w="1575" w:type="dxa"/>
            <w:vAlign w:val="center"/>
          </w:tcPr>
          <w:p w14:paraId="622063F8" w14:textId="77777777" w:rsidR="004A7D55" w:rsidRDefault="007A4A91">
            <w:pPr>
              <w:jc w:val="center"/>
              <w:rPr>
                <w:rFonts w:ascii="Arial" w:eastAsia="Arial" w:hAnsi="Arial" w:cs="Arial"/>
              </w:rPr>
            </w:pPr>
            <w:r>
              <w:rPr>
                <w:rFonts w:ascii="Arial" w:eastAsia="Arial" w:hAnsi="Arial" w:cs="Arial"/>
              </w:rPr>
              <w:t>CCR avanzado/no tratado</w:t>
            </w:r>
          </w:p>
        </w:tc>
        <w:tc>
          <w:tcPr>
            <w:tcW w:w="1689" w:type="dxa"/>
            <w:vAlign w:val="center"/>
          </w:tcPr>
          <w:p w14:paraId="622063F9" w14:textId="77777777" w:rsidR="004A7D55" w:rsidRDefault="007A4A91">
            <w:pPr>
              <w:jc w:val="center"/>
              <w:rPr>
                <w:rFonts w:ascii="Arial" w:eastAsia="Arial" w:hAnsi="Arial" w:cs="Arial"/>
              </w:rPr>
            </w:pPr>
            <w:r>
              <w:rPr>
                <w:rFonts w:ascii="Arial" w:eastAsia="Arial" w:hAnsi="Arial" w:cs="Arial"/>
              </w:rPr>
              <w:t>AVE+AXI vs SUNI</w:t>
            </w:r>
          </w:p>
        </w:tc>
        <w:tc>
          <w:tcPr>
            <w:tcW w:w="2013" w:type="dxa"/>
            <w:vAlign w:val="center"/>
          </w:tcPr>
          <w:p w14:paraId="622063FA" w14:textId="77777777" w:rsidR="004A7D55" w:rsidRDefault="007A4A91">
            <w:pPr>
              <w:jc w:val="center"/>
              <w:rPr>
                <w:rFonts w:ascii="Arial" w:eastAsia="Arial" w:hAnsi="Arial" w:cs="Arial"/>
              </w:rPr>
            </w:pPr>
            <w:r>
              <w:rPr>
                <w:rFonts w:ascii="Arial" w:eastAsia="Arial" w:hAnsi="Arial" w:cs="Arial"/>
              </w:rPr>
              <w:t>Mostró beneficio en SLP y TRO; el beneficio en SG fue menor.</w:t>
            </w:r>
          </w:p>
        </w:tc>
        <w:tc>
          <w:tcPr>
            <w:tcW w:w="2108" w:type="dxa"/>
            <w:vAlign w:val="center"/>
          </w:tcPr>
          <w:p w14:paraId="622063FB" w14:textId="77777777" w:rsidR="004A7D55" w:rsidRDefault="007A4A91">
            <w:pPr>
              <w:jc w:val="center"/>
              <w:rPr>
                <w:rFonts w:ascii="Arial" w:eastAsia="Arial" w:hAnsi="Arial" w:cs="Arial"/>
              </w:rPr>
            </w:pPr>
            <w:r>
              <w:rPr>
                <w:rFonts w:ascii="Arial" w:eastAsia="Arial" w:hAnsi="Arial" w:cs="Arial"/>
              </w:rPr>
              <w:t>Confirmó eficacia de ICI+TKI como estrategia de primera línea.</w:t>
            </w:r>
          </w:p>
        </w:tc>
      </w:tr>
      <w:tr w:rsidR="004A7D55" w14:paraId="62206403" w14:textId="77777777">
        <w:tc>
          <w:tcPr>
            <w:tcW w:w="1367" w:type="dxa"/>
            <w:vAlign w:val="center"/>
          </w:tcPr>
          <w:p w14:paraId="622063FD" w14:textId="77777777" w:rsidR="004A7D55" w:rsidRDefault="007A4A91">
            <w:pPr>
              <w:jc w:val="center"/>
              <w:rPr>
                <w:rFonts w:ascii="Arial" w:eastAsia="Arial" w:hAnsi="Arial" w:cs="Arial"/>
                <w:b/>
                <w:bCs/>
              </w:rPr>
            </w:pPr>
            <w:proofErr w:type="spellStart"/>
            <w:r>
              <w:rPr>
                <w:rFonts w:ascii="Arial" w:eastAsia="Arial" w:hAnsi="Arial" w:cs="Arial"/>
                <w:b/>
                <w:bCs/>
              </w:rPr>
              <w:t>CheckMate</w:t>
            </w:r>
            <w:proofErr w:type="spellEnd"/>
            <w:r>
              <w:rPr>
                <w:rFonts w:ascii="Arial" w:eastAsia="Arial" w:hAnsi="Arial" w:cs="Arial"/>
                <w:b/>
                <w:bCs/>
              </w:rPr>
              <w:t xml:space="preserve"> 9ER</w:t>
            </w:r>
          </w:p>
        </w:tc>
        <w:tc>
          <w:tcPr>
            <w:tcW w:w="608" w:type="dxa"/>
            <w:vAlign w:val="center"/>
          </w:tcPr>
          <w:p w14:paraId="622063FE" w14:textId="77777777" w:rsidR="004A7D55" w:rsidRDefault="007A4A91">
            <w:pPr>
              <w:jc w:val="center"/>
              <w:rPr>
                <w:rFonts w:ascii="Arial" w:eastAsia="Arial" w:hAnsi="Arial" w:cs="Arial"/>
              </w:rPr>
            </w:pPr>
            <w:r>
              <w:rPr>
                <w:rFonts w:ascii="Arial" w:eastAsia="Arial" w:hAnsi="Arial" w:cs="Arial"/>
              </w:rPr>
              <w:t>III</w:t>
            </w:r>
          </w:p>
        </w:tc>
        <w:tc>
          <w:tcPr>
            <w:tcW w:w="1575" w:type="dxa"/>
            <w:vAlign w:val="center"/>
          </w:tcPr>
          <w:p w14:paraId="622063FF" w14:textId="77777777" w:rsidR="004A7D55" w:rsidRDefault="007A4A91">
            <w:pPr>
              <w:jc w:val="center"/>
              <w:rPr>
                <w:rFonts w:ascii="Arial" w:eastAsia="Arial" w:hAnsi="Arial" w:cs="Arial"/>
              </w:rPr>
            </w:pPr>
            <w:r>
              <w:rPr>
                <w:rFonts w:ascii="Arial" w:eastAsia="Arial" w:hAnsi="Arial" w:cs="Arial"/>
              </w:rPr>
              <w:t>CCR avanzado/no tratado</w:t>
            </w:r>
          </w:p>
        </w:tc>
        <w:tc>
          <w:tcPr>
            <w:tcW w:w="1689" w:type="dxa"/>
            <w:vAlign w:val="center"/>
          </w:tcPr>
          <w:p w14:paraId="62206400" w14:textId="77777777" w:rsidR="004A7D55" w:rsidRDefault="007A4A91">
            <w:pPr>
              <w:jc w:val="center"/>
              <w:rPr>
                <w:rFonts w:ascii="Arial" w:eastAsia="Arial" w:hAnsi="Arial" w:cs="Arial"/>
              </w:rPr>
            </w:pPr>
            <w:r>
              <w:rPr>
                <w:rFonts w:ascii="Arial" w:eastAsia="Arial" w:hAnsi="Arial" w:cs="Arial"/>
              </w:rPr>
              <w:t>NIVO+CABO vs SUNI</w:t>
            </w:r>
          </w:p>
        </w:tc>
        <w:tc>
          <w:tcPr>
            <w:tcW w:w="2013" w:type="dxa"/>
            <w:vAlign w:val="center"/>
          </w:tcPr>
          <w:p w14:paraId="62206401" w14:textId="77777777" w:rsidR="004A7D55" w:rsidRDefault="007A4A91">
            <w:pPr>
              <w:jc w:val="center"/>
              <w:rPr>
                <w:rFonts w:ascii="Arial" w:eastAsia="Arial" w:hAnsi="Arial" w:cs="Arial"/>
              </w:rPr>
            </w:pPr>
            <w:r>
              <w:rPr>
                <w:rFonts w:ascii="Arial" w:eastAsia="Arial" w:hAnsi="Arial" w:cs="Arial"/>
              </w:rPr>
              <w:t>Mejoró SG, SLP y TRO.</w:t>
            </w:r>
          </w:p>
        </w:tc>
        <w:tc>
          <w:tcPr>
            <w:tcW w:w="2108" w:type="dxa"/>
            <w:vAlign w:val="center"/>
          </w:tcPr>
          <w:p w14:paraId="62206402" w14:textId="77777777" w:rsidR="004A7D55" w:rsidRDefault="007A4A91">
            <w:pPr>
              <w:jc w:val="center"/>
              <w:rPr>
                <w:rFonts w:ascii="Arial" w:eastAsia="Arial" w:hAnsi="Arial" w:cs="Arial"/>
              </w:rPr>
            </w:pPr>
            <w:r>
              <w:rPr>
                <w:rFonts w:ascii="Arial" w:eastAsia="Arial" w:hAnsi="Arial" w:cs="Arial"/>
              </w:rPr>
              <w:t>Se convirtió en uno de los esquemas de primera línea.</w:t>
            </w:r>
          </w:p>
        </w:tc>
      </w:tr>
      <w:tr w:rsidR="004A7D55" w14:paraId="6220640A" w14:textId="77777777">
        <w:tc>
          <w:tcPr>
            <w:tcW w:w="1367" w:type="dxa"/>
            <w:vAlign w:val="center"/>
          </w:tcPr>
          <w:p w14:paraId="62206404" w14:textId="77777777" w:rsidR="004A7D55" w:rsidRDefault="007A4A91">
            <w:pPr>
              <w:jc w:val="center"/>
              <w:rPr>
                <w:rFonts w:ascii="Arial" w:eastAsia="Arial" w:hAnsi="Arial" w:cs="Arial"/>
                <w:b/>
                <w:bCs/>
              </w:rPr>
            </w:pPr>
            <w:r>
              <w:rPr>
                <w:rFonts w:ascii="Arial" w:eastAsia="Arial" w:hAnsi="Arial" w:cs="Arial"/>
                <w:b/>
                <w:bCs/>
              </w:rPr>
              <w:t>CLEAR</w:t>
            </w:r>
          </w:p>
        </w:tc>
        <w:tc>
          <w:tcPr>
            <w:tcW w:w="608" w:type="dxa"/>
            <w:vAlign w:val="center"/>
          </w:tcPr>
          <w:p w14:paraId="62206405" w14:textId="77777777" w:rsidR="004A7D55" w:rsidRDefault="007A4A91">
            <w:pPr>
              <w:jc w:val="center"/>
              <w:rPr>
                <w:rFonts w:ascii="Arial" w:eastAsia="Arial" w:hAnsi="Arial" w:cs="Arial"/>
              </w:rPr>
            </w:pPr>
            <w:r>
              <w:rPr>
                <w:rFonts w:ascii="Arial" w:eastAsia="Arial" w:hAnsi="Arial" w:cs="Arial"/>
              </w:rPr>
              <w:t>III</w:t>
            </w:r>
          </w:p>
        </w:tc>
        <w:tc>
          <w:tcPr>
            <w:tcW w:w="1575" w:type="dxa"/>
            <w:vAlign w:val="center"/>
          </w:tcPr>
          <w:p w14:paraId="62206406" w14:textId="77777777" w:rsidR="004A7D55" w:rsidRDefault="007A4A91">
            <w:pPr>
              <w:jc w:val="center"/>
              <w:rPr>
                <w:rFonts w:ascii="Arial" w:eastAsia="Arial" w:hAnsi="Arial" w:cs="Arial"/>
              </w:rPr>
            </w:pPr>
            <w:r>
              <w:rPr>
                <w:rFonts w:ascii="Arial" w:eastAsia="Arial" w:hAnsi="Arial" w:cs="Arial"/>
              </w:rPr>
              <w:t>CCR avanzado/no tratado</w:t>
            </w:r>
          </w:p>
        </w:tc>
        <w:tc>
          <w:tcPr>
            <w:tcW w:w="1689" w:type="dxa"/>
            <w:vAlign w:val="center"/>
          </w:tcPr>
          <w:p w14:paraId="62206407" w14:textId="77777777" w:rsidR="004A7D55" w:rsidRDefault="007A4A91">
            <w:pPr>
              <w:jc w:val="center"/>
              <w:rPr>
                <w:rFonts w:ascii="Arial" w:eastAsia="Arial" w:hAnsi="Arial" w:cs="Arial"/>
              </w:rPr>
            </w:pPr>
            <w:r>
              <w:rPr>
                <w:rFonts w:ascii="Arial" w:eastAsia="Arial" w:hAnsi="Arial" w:cs="Arial"/>
              </w:rPr>
              <w:t>LENVA+ PEMBRO vs SUNI (brazo LENVA+EVE)</w:t>
            </w:r>
          </w:p>
        </w:tc>
        <w:tc>
          <w:tcPr>
            <w:tcW w:w="2013" w:type="dxa"/>
            <w:vAlign w:val="center"/>
          </w:tcPr>
          <w:p w14:paraId="62206408" w14:textId="77777777" w:rsidR="004A7D55" w:rsidRDefault="007A4A91">
            <w:pPr>
              <w:jc w:val="center"/>
              <w:rPr>
                <w:rFonts w:ascii="Arial" w:eastAsia="Arial" w:hAnsi="Arial" w:cs="Arial"/>
              </w:rPr>
            </w:pPr>
            <w:r>
              <w:rPr>
                <w:rFonts w:ascii="Arial" w:eastAsia="Arial" w:hAnsi="Arial" w:cs="Arial"/>
              </w:rPr>
              <w:t>LENVA+ PEMBRO mejoró SLP, SG y TRO vs SUNI.</w:t>
            </w:r>
          </w:p>
        </w:tc>
        <w:tc>
          <w:tcPr>
            <w:tcW w:w="2108" w:type="dxa"/>
            <w:vAlign w:val="center"/>
          </w:tcPr>
          <w:p w14:paraId="62206409" w14:textId="77777777" w:rsidR="004A7D55" w:rsidRDefault="007A4A91">
            <w:pPr>
              <w:jc w:val="center"/>
              <w:rPr>
                <w:rFonts w:ascii="Arial" w:eastAsia="Arial" w:hAnsi="Arial" w:cs="Arial"/>
              </w:rPr>
            </w:pPr>
            <w:r>
              <w:rPr>
                <w:rFonts w:ascii="Arial" w:eastAsia="Arial" w:hAnsi="Arial" w:cs="Arial"/>
              </w:rPr>
              <w:t>Reforzó ICI+TKI como opción de alta eficacia en primera línea.</w:t>
            </w:r>
          </w:p>
        </w:tc>
      </w:tr>
      <w:tr w:rsidR="004A7D55" w14:paraId="62206411" w14:textId="77777777">
        <w:tc>
          <w:tcPr>
            <w:tcW w:w="1367" w:type="dxa"/>
            <w:vAlign w:val="center"/>
          </w:tcPr>
          <w:p w14:paraId="6220640B" w14:textId="77777777" w:rsidR="004A7D55" w:rsidRDefault="007A4A91">
            <w:pPr>
              <w:jc w:val="center"/>
              <w:rPr>
                <w:rFonts w:ascii="Arial" w:eastAsia="Arial" w:hAnsi="Arial" w:cs="Arial"/>
                <w:b/>
                <w:bCs/>
              </w:rPr>
            </w:pPr>
            <w:r>
              <w:rPr>
                <w:rFonts w:ascii="Arial" w:eastAsia="Arial" w:hAnsi="Arial" w:cs="Arial"/>
                <w:b/>
                <w:bCs/>
              </w:rPr>
              <w:t>METEOR</w:t>
            </w:r>
          </w:p>
        </w:tc>
        <w:tc>
          <w:tcPr>
            <w:tcW w:w="608" w:type="dxa"/>
            <w:vAlign w:val="center"/>
          </w:tcPr>
          <w:p w14:paraId="6220640C" w14:textId="77777777" w:rsidR="004A7D55" w:rsidRDefault="007A4A91">
            <w:pPr>
              <w:jc w:val="center"/>
              <w:rPr>
                <w:rFonts w:ascii="Arial" w:eastAsia="Arial" w:hAnsi="Arial" w:cs="Arial"/>
              </w:rPr>
            </w:pPr>
            <w:r>
              <w:rPr>
                <w:rFonts w:ascii="Arial" w:eastAsia="Arial" w:hAnsi="Arial" w:cs="Arial"/>
              </w:rPr>
              <w:t>III</w:t>
            </w:r>
          </w:p>
        </w:tc>
        <w:tc>
          <w:tcPr>
            <w:tcW w:w="1575" w:type="dxa"/>
            <w:vAlign w:val="center"/>
          </w:tcPr>
          <w:p w14:paraId="6220640D" w14:textId="77777777" w:rsidR="004A7D55" w:rsidRDefault="007A4A91">
            <w:pPr>
              <w:jc w:val="center"/>
              <w:rPr>
                <w:rFonts w:ascii="Arial" w:eastAsia="Arial" w:hAnsi="Arial" w:cs="Arial"/>
              </w:rPr>
            </w:pPr>
            <w:r>
              <w:rPr>
                <w:rFonts w:ascii="Arial" w:eastAsia="Arial" w:hAnsi="Arial" w:cs="Arial"/>
              </w:rPr>
              <w:t>CCR avanzado previamente tratado con terapia anti angiogénica</w:t>
            </w:r>
          </w:p>
        </w:tc>
        <w:tc>
          <w:tcPr>
            <w:tcW w:w="1689" w:type="dxa"/>
            <w:vAlign w:val="center"/>
          </w:tcPr>
          <w:p w14:paraId="6220640E" w14:textId="77777777" w:rsidR="004A7D55" w:rsidRDefault="007A4A91">
            <w:pPr>
              <w:jc w:val="center"/>
              <w:rPr>
                <w:rFonts w:ascii="Arial" w:eastAsia="Arial" w:hAnsi="Arial" w:cs="Arial"/>
              </w:rPr>
            </w:pPr>
            <w:r>
              <w:rPr>
                <w:rFonts w:ascii="Arial" w:eastAsia="Arial" w:hAnsi="Arial" w:cs="Arial"/>
              </w:rPr>
              <w:t>CABO vs EVE</w:t>
            </w:r>
          </w:p>
        </w:tc>
        <w:tc>
          <w:tcPr>
            <w:tcW w:w="2013" w:type="dxa"/>
            <w:vAlign w:val="center"/>
          </w:tcPr>
          <w:p w14:paraId="6220640F" w14:textId="77777777" w:rsidR="004A7D55" w:rsidRDefault="007A4A91">
            <w:pPr>
              <w:jc w:val="center"/>
              <w:rPr>
                <w:rFonts w:ascii="Arial" w:eastAsia="Arial" w:hAnsi="Arial" w:cs="Arial"/>
              </w:rPr>
            </w:pPr>
            <w:r>
              <w:rPr>
                <w:rFonts w:ascii="Arial" w:eastAsia="Arial" w:hAnsi="Arial" w:cs="Arial"/>
              </w:rPr>
              <w:t>Mejoró SLP y SG en comparación con EVE.</w:t>
            </w:r>
          </w:p>
        </w:tc>
        <w:tc>
          <w:tcPr>
            <w:tcW w:w="2108" w:type="dxa"/>
            <w:vAlign w:val="center"/>
          </w:tcPr>
          <w:p w14:paraId="62206410" w14:textId="77777777" w:rsidR="004A7D55" w:rsidRDefault="007A4A91">
            <w:pPr>
              <w:jc w:val="center"/>
              <w:rPr>
                <w:rFonts w:ascii="Arial" w:eastAsia="Arial" w:hAnsi="Arial" w:cs="Arial"/>
              </w:rPr>
            </w:pPr>
            <w:r>
              <w:rPr>
                <w:rFonts w:ascii="Arial" w:eastAsia="Arial" w:hAnsi="Arial" w:cs="Arial"/>
              </w:rPr>
              <w:t>Definió a CABO como opción de referencia en líneas posteriores.</w:t>
            </w:r>
          </w:p>
        </w:tc>
      </w:tr>
    </w:tbl>
    <w:p w14:paraId="62206412" w14:textId="77777777" w:rsidR="004A7D55" w:rsidRDefault="007A4A91">
      <w:pPr>
        <w:rPr>
          <w:rFonts w:ascii="Arial" w:eastAsia="Arial" w:hAnsi="Arial" w:cs="Arial"/>
          <w:sz w:val="24"/>
          <w:szCs w:val="24"/>
        </w:rPr>
      </w:pPr>
      <w:r>
        <w:rPr>
          <w:rFonts w:ascii="Arial" w:eastAsia="Arial" w:hAnsi="Arial" w:cs="Arial"/>
          <w:b/>
          <w:bCs/>
          <w:sz w:val="24"/>
          <w:szCs w:val="24"/>
        </w:rPr>
        <w:t>Referencias:</w:t>
      </w:r>
      <w:r>
        <w:rPr>
          <w:rFonts w:ascii="Arial" w:eastAsia="Arial" w:hAnsi="Arial" w:cs="Arial"/>
          <w:sz w:val="24"/>
          <w:szCs w:val="24"/>
        </w:rPr>
        <w:t xml:space="preserve"> AVE: </w:t>
      </w:r>
      <w:proofErr w:type="spellStart"/>
      <w:r>
        <w:rPr>
          <w:rFonts w:ascii="Arial" w:eastAsia="Arial" w:hAnsi="Arial" w:cs="Arial"/>
          <w:sz w:val="24"/>
          <w:szCs w:val="24"/>
        </w:rPr>
        <w:t>Avelumab</w:t>
      </w:r>
      <w:proofErr w:type="spellEnd"/>
      <w:r>
        <w:rPr>
          <w:rFonts w:ascii="Arial" w:eastAsia="Arial" w:hAnsi="Arial" w:cs="Arial"/>
          <w:sz w:val="24"/>
          <w:szCs w:val="24"/>
        </w:rPr>
        <w:t xml:space="preserve">; AXI: </w:t>
      </w:r>
      <w:proofErr w:type="spellStart"/>
      <w:r>
        <w:rPr>
          <w:rFonts w:ascii="Arial" w:eastAsia="Arial" w:hAnsi="Arial" w:cs="Arial"/>
          <w:sz w:val="24"/>
          <w:szCs w:val="24"/>
        </w:rPr>
        <w:t>Axitinib</w:t>
      </w:r>
      <w:proofErr w:type="spellEnd"/>
      <w:r>
        <w:rPr>
          <w:rFonts w:ascii="Arial" w:eastAsia="Arial" w:hAnsi="Arial" w:cs="Arial"/>
          <w:sz w:val="24"/>
          <w:szCs w:val="24"/>
        </w:rPr>
        <w:t xml:space="preserve">; CABO: </w:t>
      </w:r>
      <w:proofErr w:type="spellStart"/>
      <w:r>
        <w:rPr>
          <w:rFonts w:ascii="Arial" w:eastAsia="Arial" w:hAnsi="Arial" w:cs="Arial"/>
          <w:sz w:val="24"/>
          <w:szCs w:val="24"/>
        </w:rPr>
        <w:t>Cabozantinib</w:t>
      </w:r>
      <w:proofErr w:type="spellEnd"/>
      <w:r>
        <w:rPr>
          <w:rFonts w:ascii="Arial" w:eastAsia="Arial" w:hAnsi="Arial" w:cs="Arial"/>
          <w:sz w:val="24"/>
          <w:szCs w:val="24"/>
        </w:rPr>
        <w:t xml:space="preserve">; CCR: carcinoma de células renales; EVE: </w:t>
      </w:r>
      <w:proofErr w:type="spellStart"/>
      <w:r>
        <w:rPr>
          <w:rFonts w:ascii="Arial" w:eastAsia="Arial" w:hAnsi="Arial" w:cs="Arial"/>
          <w:sz w:val="24"/>
          <w:szCs w:val="24"/>
        </w:rPr>
        <w:t>Everolimus</w:t>
      </w:r>
      <w:proofErr w:type="spellEnd"/>
      <w:r>
        <w:rPr>
          <w:rFonts w:ascii="Arial" w:eastAsia="Arial" w:hAnsi="Arial" w:cs="Arial"/>
          <w:sz w:val="24"/>
          <w:szCs w:val="24"/>
        </w:rPr>
        <w:t>; ICI: inhibidores del punto de control inmunológico; IPI:</w:t>
      </w:r>
      <w:r>
        <w:t xml:space="preserve"> </w:t>
      </w:r>
      <w:r>
        <w:rPr>
          <w:rFonts w:ascii="Arial" w:eastAsia="Arial" w:hAnsi="Arial" w:cs="Arial"/>
          <w:sz w:val="24"/>
          <w:szCs w:val="24"/>
        </w:rPr>
        <w:t xml:space="preserve">Ipilimumab; LENVA: </w:t>
      </w:r>
      <w:proofErr w:type="spellStart"/>
      <w:r>
        <w:rPr>
          <w:rFonts w:ascii="Arial" w:eastAsia="Arial" w:hAnsi="Arial" w:cs="Arial"/>
          <w:sz w:val="24"/>
          <w:szCs w:val="24"/>
        </w:rPr>
        <w:t>Lenvatinib</w:t>
      </w:r>
      <w:proofErr w:type="spellEnd"/>
      <w:r>
        <w:rPr>
          <w:rFonts w:ascii="Arial" w:eastAsia="Arial" w:hAnsi="Arial" w:cs="Arial"/>
          <w:sz w:val="24"/>
          <w:szCs w:val="24"/>
        </w:rPr>
        <w:t xml:space="preserve">; NIVO: </w:t>
      </w:r>
      <w:proofErr w:type="spellStart"/>
      <w:r>
        <w:rPr>
          <w:rFonts w:ascii="Arial" w:eastAsia="Arial" w:hAnsi="Arial" w:cs="Arial"/>
          <w:sz w:val="24"/>
          <w:szCs w:val="24"/>
        </w:rPr>
        <w:t>Nivolumab</w:t>
      </w:r>
      <w:proofErr w:type="spellEnd"/>
      <w:r>
        <w:rPr>
          <w:rFonts w:ascii="Arial" w:eastAsia="Arial" w:hAnsi="Arial" w:cs="Arial"/>
          <w:sz w:val="24"/>
          <w:szCs w:val="24"/>
        </w:rPr>
        <w:t xml:space="preserve">; PEMBRO: </w:t>
      </w:r>
      <w:proofErr w:type="spellStart"/>
      <w:r>
        <w:rPr>
          <w:rFonts w:ascii="Arial" w:eastAsia="Arial" w:hAnsi="Arial" w:cs="Arial"/>
          <w:sz w:val="24"/>
          <w:szCs w:val="24"/>
        </w:rPr>
        <w:t>Pembrolizumab</w:t>
      </w:r>
      <w:proofErr w:type="spellEnd"/>
      <w:r>
        <w:rPr>
          <w:rFonts w:ascii="Arial" w:eastAsia="Arial" w:hAnsi="Arial" w:cs="Arial"/>
          <w:sz w:val="24"/>
          <w:szCs w:val="24"/>
        </w:rPr>
        <w:t xml:space="preserve">; SG: supervivencia global, SLP: supervivencia a libre de progresión; SUNI: </w:t>
      </w:r>
      <w:proofErr w:type="spellStart"/>
      <w:r>
        <w:rPr>
          <w:rFonts w:ascii="Arial" w:eastAsia="Arial" w:hAnsi="Arial" w:cs="Arial"/>
          <w:sz w:val="24"/>
          <w:szCs w:val="24"/>
        </w:rPr>
        <w:t>Sunitinib</w:t>
      </w:r>
      <w:proofErr w:type="spellEnd"/>
      <w:r>
        <w:rPr>
          <w:rFonts w:ascii="Arial" w:eastAsia="Arial" w:hAnsi="Arial" w:cs="Arial"/>
          <w:sz w:val="24"/>
          <w:szCs w:val="24"/>
        </w:rPr>
        <w:t>;</w:t>
      </w:r>
      <w:r>
        <w:t xml:space="preserve"> </w:t>
      </w:r>
      <w:r>
        <w:rPr>
          <w:rFonts w:ascii="Arial" w:eastAsia="Arial" w:hAnsi="Arial" w:cs="Arial"/>
          <w:sz w:val="24"/>
          <w:szCs w:val="24"/>
        </w:rPr>
        <w:t xml:space="preserve">TKI: inhibidores de tirosina </w:t>
      </w:r>
      <w:proofErr w:type="spellStart"/>
      <w:r>
        <w:rPr>
          <w:rFonts w:ascii="Arial" w:eastAsia="Arial" w:hAnsi="Arial" w:cs="Arial"/>
          <w:sz w:val="24"/>
          <w:szCs w:val="24"/>
        </w:rPr>
        <w:t>kinasa</w:t>
      </w:r>
      <w:proofErr w:type="spellEnd"/>
      <w:r>
        <w:rPr>
          <w:rFonts w:ascii="Arial" w:eastAsia="Arial" w:hAnsi="Arial" w:cs="Arial"/>
          <w:sz w:val="24"/>
          <w:szCs w:val="24"/>
        </w:rPr>
        <w:t xml:space="preserve">; TRO: tasa de respuesta objetiva; </w:t>
      </w:r>
    </w:p>
    <w:p w14:paraId="62206413" w14:textId="77777777" w:rsidR="004A7D55" w:rsidRDefault="007A4A91">
      <w:pPr>
        <w:rPr>
          <w:rFonts w:ascii="Arial" w:eastAsia="Arial" w:hAnsi="Arial" w:cs="Arial"/>
          <w:sz w:val="24"/>
          <w:szCs w:val="24"/>
        </w:rPr>
      </w:pPr>
      <w:r>
        <w:rPr>
          <w:rFonts w:ascii="Arial" w:eastAsia="Arial" w:hAnsi="Arial" w:cs="Arial"/>
          <w:sz w:val="24"/>
          <w:szCs w:val="24"/>
        </w:rPr>
        <w:t xml:space="preserve">(Los ensayos </w:t>
      </w:r>
      <w:proofErr w:type="spellStart"/>
      <w:r>
        <w:rPr>
          <w:rFonts w:ascii="Arial" w:eastAsia="Arial" w:hAnsi="Arial" w:cs="Arial"/>
          <w:sz w:val="24"/>
          <w:szCs w:val="24"/>
        </w:rPr>
        <w:t>pivotales</w:t>
      </w:r>
      <w:proofErr w:type="spellEnd"/>
      <w:r>
        <w:rPr>
          <w:rFonts w:ascii="Arial" w:eastAsia="Arial" w:hAnsi="Arial" w:cs="Arial"/>
          <w:sz w:val="24"/>
          <w:szCs w:val="24"/>
        </w:rPr>
        <w:t xml:space="preserve"> publicados durante la última década transformaron el tratamiento del carcinoma renal metastásico. </w:t>
      </w:r>
      <w:proofErr w:type="spellStart"/>
      <w:r>
        <w:rPr>
          <w:rFonts w:ascii="Arial" w:eastAsia="Arial" w:hAnsi="Arial" w:cs="Arial"/>
          <w:sz w:val="24"/>
          <w:szCs w:val="24"/>
        </w:rPr>
        <w:t>CheckMate</w:t>
      </w:r>
      <w:proofErr w:type="spellEnd"/>
      <w:r>
        <w:rPr>
          <w:rFonts w:ascii="Arial" w:eastAsia="Arial" w:hAnsi="Arial" w:cs="Arial"/>
          <w:sz w:val="24"/>
          <w:szCs w:val="24"/>
        </w:rPr>
        <w:t xml:space="preserve"> 214 introdujo la combinación de inmunoterapia dual como estándar en pacientes con riesgo intermedio o pobre, mientras que KEYNOTE-426, </w:t>
      </w:r>
      <w:proofErr w:type="spellStart"/>
      <w:r>
        <w:rPr>
          <w:rFonts w:ascii="Arial" w:eastAsia="Arial" w:hAnsi="Arial" w:cs="Arial"/>
          <w:sz w:val="24"/>
          <w:szCs w:val="24"/>
        </w:rPr>
        <w:t>CheckMate</w:t>
      </w:r>
      <w:proofErr w:type="spellEnd"/>
      <w:r>
        <w:rPr>
          <w:rFonts w:ascii="Arial" w:eastAsia="Arial" w:hAnsi="Arial" w:cs="Arial"/>
          <w:sz w:val="24"/>
          <w:szCs w:val="24"/>
        </w:rPr>
        <w:t xml:space="preserve"> 9ER y CLEAR consolidaron las combinaciones de ICI más TKI como opciones de primera línea de amplio uso clínico. JAVELIN Renal 101 también confirmó la actividad de la estrategia ICI+TKI, aunque su impacto en la práctica fue menor que el de otros esquemas por la madurez comparativa </w:t>
      </w:r>
      <w:r>
        <w:rPr>
          <w:rFonts w:ascii="Arial" w:eastAsia="Arial" w:hAnsi="Arial" w:cs="Arial"/>
          <w:sz w:val="24"/>
          <w:szCs w:val="24"/>
        </w:rPr>
        <w:lastRenderedPageBreak/>
        <w:t xml:space="preserve">de los datos de supervivencia global. En líneas posteriores, METEOR estableció el papel de </w:t>
      </w:r>
      <w:proofErr w:type="spellStart"/>
      <w:r>
        <w:rPr>
          <w:rFonts w:ascii="Arial" w:eastAsia="Arial" w:hAnsi="Arial" w:cs="Arial"/>
          <w:sz w:val="24"/>
          <w:szCs w:val="24"/>
        </w:rPr>
        <w:t>cabozantinib</w:t>
      </w:r>
      <w:proofErr w:type="spellEnd"/>
      <w:r>
        <w:rPr>
          <w:rFonts w:ascii="Arial" w:eastAsia="Arial" w:hAnsi="Arial" w:cs="Arial"/>
          <w:sz w:val="24"/>
          <w:szCs w:val="24"/>
        </w:rPr>
        <w:t xml:space="preserve"> tras progresión a terapia dirigida previa)</w:t>
      </w:r>
    </w:p>
    <w:p w14:paraId="62206414" w14:textId="77777777" w:rsidR="004A7D55" w:rsidRDefault="004A7D55">
      <w:pPr>
        <w:rPr>
          <w:rFonts w:ascii="Arial" w:eastAsia="Arial" w:hAnsi="Arial" w:cs="Arial"/>
          <w:b/>
          <w:bCs/>
          <w:sz w:val="24"/>
          <w:szCs w:val="24"/>
        </w:rPr>
      </w:pPr>
    </w:p>
    <w:p w14:paraId="62206415" w14:textId="77777777" w:rsidR="004A7D55" w:rsidRDefault="004A7D55">
      <w:pPr>
        <w:rPr>
          <w:rFonts w:ascii="Arial" w:eastAsia="Arial" w:hAnsi="Arial" w:cs="Arial"/>
          <w:b/>
          <w:bCs/>
          <w:sz w:val="24"/>
          <w:szCs w:val="24"/>
        </w:rPr>
      </w:pPr>
    </w:p>
    <w:p w14:paraId="62206416" w14:textId="77777777" w:rsidR="004A7D55" w:rsidRDefault="004A7D55">
      <w:pPr>
        <w:rPr>
          <w:rFonts w:ascii="Arial" w:eastAsia="Arial" w:hAnsi="Arial" w:cs="Arial"/>
          <w:b/>
          <w:bCs/>
          <w:sz w:val="24"/>
          <w:szCs w:val="24"/>
        </w:rPr>
      </w:pPr>
    </w:p>
    <w:p w14:paraId="62206417" w14:textId="77777777" w:rsidR="004A7D55" w:rsidRDefault="004A7D55">
      <w:pPr>
        <w:rPr>
          <w:rFonts w:ascii="Arial" w:eastAsia="Arial" w:hAnsi="Arial" w:cs="Arial"/>
          <w:b/>
          <w:bCs/>
          <w:sz w:val="24"/>
          <w:szCs w:val="24"/>
        </w:rPr>
      </w:pPr>
    </w:p>
    <w:p w14:paraId="62206418" w14:textId="77777777" w:rsidR="004A7D55" w:rsidRDefault="004A7D55">
      <w:pPr>
        <w:rPr>
          <w:rFonts w:ascii="Arial" w:eastAsia="Arial" w:hAnsi="Arial" w:cs="Arial"/>
          <w:b/>
          <w:bCs/>
          <w:sz w:val="24"/>
          <w:szCs w:val="24"/>
        </w:rPr>
      </w:pPr>
    </w:p>
    <w:p w14:paraId="62206419" w14:textId="77777777" w:rsidR="004A7D55" w:rsidRDefault="004A7D55">
      <w:pPr>
        <w:rPr>
          <w:rFonts w:ascii="Arial" w:eastAsia="Arial" w:hAnsi="Arial" w:cs="Arial"/>
          <w:b/>
          <w:bCs/>
          <w:sz w:val="24"/>
          <w:szCs w:val="24"/>
        </w:rPr>
      </w:pPr>
    </w:p>
    <w:p w14:paraId="6220641A" w14:textId="77777777" w:rsidR="004A7D55" w:rsidRDefault="004A7D55">
      <w:pPr>
        <w:rPr>
          <w:rFonts w:ascii="Arial" w:eastAsia="Arial" w:hAnsi="Arial" w:cs="Arial"/>
          <w:b/>
          <w:bCs/>
          <w:sz w:val="24"/>
          <w:szCs w:val="24"/>
        </w:rPr>
      </w:pPr>
    </w:p>
    <w:p w14:paraId="6220641B" w14:textId="77777777" w:rsidR="004A7D55" w:rsidRDefault="004A7D55">
      <w:pPr>
        <w:rPr>
          <w:rFonts w:ascii="Arial" w:eastAsia="Arial" w:hAnsi="Arial" w:cs="Arial"/>
          <w:b/>
          <w:bCs/>
          <w:sz w:val="24"/>
          <w:szCs w:val="24"/>
        </w:rPr>
      </w:pPr>
    </w:p>
    <w:p w14:paraId="6220641C" w14:textId="77777777" w:rsidR="004A7D55" w:rsidRDefault="004A7D55">
      <w:pPr>
        <w:rPr>
          <w:rFonts w:ascii="Arial" w:eastAsia="Arial" w:hAnsi="Arial" w:cs="Arial"/>
          <w:b/>
          <w:bCs/>
          <w:sz w:val="24"/>
          <w:szCs w:val="24"/>
        </w:rPr>
      </w:pPr>
    </w:p>
    <w:p w14:paraId="6220641D" w14:textId="77777777" w:rsidR="004A7D55" w:rsidRDefault="004A7D55">
      <w:pPr>
        <w:rPr>
          <w:rFonts w:ascii="Arial" w:eastAsia="Arial" w:hAnsi="Arial" w:cs="Arial"/>
          <w:b/>
          <w:bCs/>
          <w:sz w:val="24"/>
          <w:szCs w:val="24"/>
        </w:rPr>
      </w:pPr>
    </w:p>
    <w:p w14:paraId="6220641E" w14:textId="77777777" w:rsidR="004A7D55" w:rsidRDefault="004A7D55">
      <w:pPr>
        <w:rPr>
          <w:rFonts w:ascii="Arial" w:eastAsia="Arial" w:hAnsi="Arial" w:cs="Arial"/>
          <w:b/>
          <w:bCs/>
          <w:sz w:val="24"/>
          <w:szCs w:val="24"/>
        </w:rPr>
      </w:pPr>
    </w:p>
    <w:p w14:paraId="6220641F" w14:textId="77777777" w:rsidR="004A7D55" w:rsidRDefault="004A7D55">
      <w:pPr>
        <w:rPr>
          <w:rFonts w:ascii="Arial" w:eastAsia="Arial" w:hAnsi="Arial" w:cs="Arial"/>
          <w:b/>
          <w:bCs/>
          <w:sz w:val="24"/>
          <w:szCs w:val="24"/>
        </w:rPr>
      </w:pPr>
    </w:p>
    <w:p w14:paraId="62206420" w14:textId="77777777" w:rsidR="004A7D55" w:rsidRDefault="004A7D55">
      <w:pPr>
        <w:rPr>
          <w:rFonts w:ascii="Arial" w:eastAsia="Arial" w:hAnsi="Arial" w:cs="Arial"/>
          <w:b/>
          <w:bCs/>
          <w:sz w:val="24"/>
          <w:szCs w:val="24"/>
        </w:rPr>
      </w:pPr>
    </w:p>
    <w:p w14:paraId="62206421" w14:textId="77777777" w:rsidR="004A7D55" w:rsidRDefault="004A7D55">
      <w:pPr>
        <w:rPr>
          <w:rFonts w:ascii="Arial" w:eastAsia="Arial" w:hAnsi="Arial" w:cs="Arial"/>
          <w:b/>
          <w:bCs/>
          <w:sz w:val="24"/>
          <w:szCs w:val="24"/>
        </w:rPr>
      </w:pPr>
    </w:p>
    <w:p w14:paraId="62206422" w14:textId="77777777" w:rsidR="004A7D55" w:rsidRDefault="004A7D55">
      <w:pPr>
        <w:rPr>
          <w:rFonts w:ascii="Arial" w:eastAsia="Arial" w:hAnsi="Arial" w:cs="Arial"/>
          <w:b/>
          <w:bCs/>
          <w:sz w:val="24"/>
          <w:szCs w:val="24"/>
        </w:rPr>
      </w:pPr>
    </w:p>
    <w:p w14:paraId="62206423" w14:textId="77777777" w:rsidR="004A7D55" w:rsidRDefault="004A7D55">
      <w:pPr>
        <w:rPr>
          <w:rFonts w:ascii="Arial" w:eastAsia="Arial" w:hAnsi="Arial" w:cs="Arial"/>
          <w:b/>
          <w:bCs/>
          <w:sz w:val="24"/>
          <w:szCs w:val="24"/>
        </w:rPr>
      </w:pPr>
    </w:p>
    <w:p w14:paraId="62206424" w14:textId="77777777" w:rsidR="004A7D55" w:rsidRDefault="004A7D55">
      <w:pPr>
        <w:rPr>
          <w:rFonts w:ascii="Arial" w:eastAsia="Arial" w:hAnsi="Arial" w:cs="Arial"/>
          <w:b/>
          <w:bCs/>
          <w:sz w:val="24"/>
          <w:szCs w:val="24"/>
        </w:rPr>
      </w:pPr>
    </w:p>
    <w:p w14:paraId="62206425" w14:textId="77777777" w:rsidR="004A7D55" w:rsidRDefault="004A7D55">
      <w:pPr>
        <w:rPr>
          <w:rFonts w:ascii="Arial" w:eastAsia="Arial" w:hAnsi="Arial" w:cs="Arial"/>
          <w:b/>
          <w:bCs/>
          <w:sz w:val="24"/>
          <w:szCs w:val="24"/>
        </w:rPr>
      </w:pPr>
    </w:p>
    <w:p w14:paraId="62206426" w14:textId="77777777" w:rsidR="004A7D55" w:rsidRDefault="004A7D55">
      <w:pPr>
        <w:rPr>
          <w:rFonts w:ascii="Arial" w:eastAsia="Arial" w:hAnsi="Arial" w:cs="Arial"/>
          <w:b/>
          <w:bCs/>
          <w:sz w:val="24"/>
          <w:szCs w:val="24"/>
        </w:rPr>
      </w:pPr>
    </w:p>
    <w:p w14:paraId="62206427" w14:textId="77777777" w:rsidR="004A7D55" w:rsidRDefault="004A7D55">
      <w:pPr>
        <w:rPr>
          <w:rFonts w:ascii="Arial" w:eastAsia="Arial" w:hAnsi="Arial" w:cs="Arial"/>
          <w:b/>
          <w:bCs/>
          <w:sz w:val="24"/>
          <w:szCs w:val="24"/>
        </w:rPr>
      </w:pPr>
    </w:p>
    <w:p w14:paraId="62206428" w14:textId="77777777" w:rsidR="004A7D55" w:rsidRDefault="004A7D55">
      <w:pPr>
        <w:rPr>
          <w:rFonts w:ascii="Arial" w:eastAsia="Arial" w:hAnsi="Arial" w:cs="Arial"/>
          <w:b/>
          <w:bCs/>
          <w:sz w:val="24"/>
          <w:szCs w:val="24"/>
        </w:rPr>
      </w:pPr>
    </w:p>
    <w:p w14:paraId="62206429" w14:textId="77777777" w:rsidR="004A7D55" w:rsidRDefault="004A7D55">
      <w:pPr>
        <w:rPr>
          <w:rFonts w:ascii="Arial" w:eastAsia="Arial" w:hAnsi="Arial" w:cs="Arial"/>
          <w:b/>
          <w:bCs/>
          <w:sz w:val="24"/>
          <w:szCs w:val="24"/>
        </w:rPr>
      </w:pPr>
    </w:p>
    <w:p w14:paraId="12422059" w14:textId="77777777" w:rsidR="00F233D4" w:rsidRDefault="00F233D4">
      <w:pPr>
        <w:rPr>
          <w:rFonts w:ascii="Arial" w:eastAsia="Arial" w:hAnsi="Arial" w:cs="Arial"/>
          <w:b/>
          <w:bCs/>
          <w:sz w:val="24"/>
          <w:szCs w:val="24"/>
        </w:rPr>
      </w:pPr>
    </w:p>
    <w:p w14:paraId="5C67BA7F" w14:textId="77777777" w:rsidR="00F233D4" w:rsidRDefault="00F233D4">
      <w:pPr>
        <w:rPr>
          <w:rFonts w:ascii="Arial" w:eastAsia="Arial" w:hAnsi="Arial" w:cs="Arial"/>
          <w:b/>
          <w:bCs/>
          <w:sz w:val="24"/>
          <w:szCs w:val="24"/>
        </w:rPr>
      </w:pPr>
    </w:p>
    <w:p w14:paraId="197B792F" w14:textId="77777777" w:rsidR="00F233D4" w:rsidRDefault="00F233D4">
      <w:pPr>
        <w:rPr>
          <w:rFonts w:ascii="Arial" w:eastAsia="Arial" w:hAnsi="Arial" w:cs="Arial"/>
          <w:b/>
          <w:bCs/>
          <w:sz w:val="24"/>
          <w:szCs w:val="24"/>
        </w:rPr>
      </w:pPr>
    </w:p>
    <w:p w14:paraId="54BCCC5F" w14:textId="77777777" w:rsidR="00F233D4" w:rsidRDefault="00F233D4">
      <w:pPr>
        <w:rPr>
          <w:rFonts w:ascii="Arial" w:eastAsia="Arial" w:hAnsi="Arial" w:cs="Arial"/>
          <w:b/>
          <w:bCs/>
          <w:sz w:val="24"/>
          <w:szCs w:val="24"/>
        </w:rPr>
      </w:pPr>
    </w:p>
    <w:p w14:paraId="01292FFC" w14:textId="77777777" w:rsidR="00F233D4" w:rsidRDefault="00F233D4">
      <w:pPr>
        <w:rPr>
          <w:rFonts w:ascii="Arial" w:eastAsia="Arial" w:hAnsi="Arial" w:cs="Arial"/>
          <w:b/>
          <w:bCs/>
          <w:sz w:val="24"/>
          <w:szCs w:val="24"/>
        </w:rPr>
      </w:pPr>
    </w:p>
    <w:p w14:paraId="6220642A" w14:textId="6DFDEE43" w:rsidR="004A7D55" w:rsidRDefault="007A4A91">
      <w:pPr>
        <w:rPr>
          <w:rFonts w:ascii="Arial" w:eastAsia="Arial" w:hAnsi="Arial" w:cs="Arial"/>
          <w:b/>
          <w:bCs/>
          <w:sz w:val="24"/>
          <w:szCs w:val="24"/>
        </w:rPr>
      </w:pPr>
      <w:r>
        <w:rPr>
          <w:rFonts w:ascii="Arial" w:eastAsia="Arial" w:hAnsi="Arial" w:cs="Arial"/>
          <w:b/>
          <w:bCs/>
          <w:sz w:val="24"/>
          <w:szCs w:val="24"/>
        </w:rPr>
        <w:lastRenderedPageBreak/>
        <w:t xml:space="preserve">Figura 2. Algoritmo terapéutico en carcinoma renal </w:t>
      </w:r>
      <w:proofErr w:type="spellStart"/>
      <w:r>
        <w:rPr>
          <w:rFonts w:ascii="Arial" w:eastAsia="Arial" w:hAnsi="Arial" w:cs="Arial"/>
          <w:b/>
          <w:bCs/>
          <w:sz w:val="24"/>
          <w:szCs w:val="24"/>
        </w:rPr>
        <w:t>metastásicoReferencias</w:t>
      </w:r>
      <w:proofErr w:type="spellEnd"/>
      <w:r>
        <w:rPr>
          <w:rFonts w:ascii="Arial" w:eastAsia="Arial" w:hAnsi="Arial" w:cs="Arial"/>
          <w:b/>
          <w:bCs/>
          <w:sz w:val="24"/>
          <w:szCs w:val="24"/>
        </w:rPr>
        <w:t xml:space="preserve"> (Fig 2): </w:t>
      </w:r>
      <w:r>
        <w:rPr>
          <w:rFonts w:ascii="Arial" w:eastAsia="Arial" w:hAnsi="Arial" w:cs="Arial"/>
          <w:sz w:val="24"/>
          <w:szCs w:val="24"/>
        </w:rPr>
        <w:t>Algoritmo simplificado para el tratamiento sistémico del carcinoma renal metastásico basado en la estratificación pronóstica mediante el modelo IMDC. Las combinaciones de inmunoterapia con inhibidores de tirosina quinasa (ICI+TKI) o inmunoterapia dual (ICI+ICI) constituyen estrategias terapéuticas de primera línea en el carcinoma renal de células claras avanzado.</w:t>
      </w:r>
    </w:p>
    <w:p w14:paraId="62206434" w14:textId="77777777" w:rsidR="004A7D55" w:rsidRDefault="007A4A91">
      <w:pPr>
        <w:rPr>
          <w:rFonts w:ascii="Arial" w:eastAsia="Arial" w:hAnsi="Arial" w:cs="Arial"/>
          <w:b/>
          <w:bCs/>
          <w:sz w:val="24"/>
          <w:szCs w:val="24"/>
        </w:rPr>
      </w:pPr>
      <w:r>
        <w:rPr>
          <w:rFonts w:ascii="Arial" w:eastAsia="Arial" w:hAnsi="Arial" w:cs="Arial"/>
          <w:b/>
          <w:bCs/>
          <w:sz w:val="24"/>
          <w:szCs w:val="24"/>
        </w:rPr>
        <w:t>Perspectivas futuras en carcinoma renal</w:t>
      </w:r>
    </w:p>
    <w:p w14:paraId="62206435" w14:textId="77777777" w:rsidR="004A7D55" w:rsidRDefault="007A4A91">
      <w:pPr>
        <w:rPr>
          <w:rFonts w:ascii="Arial" w:eastAsia="Arial" w:hAnsi="Arial" w:cs="Arial"/>
          <w:sz w:val="24"/>
          <w:szCs w:val="24"/>
        </w:rPr>
      </w:pPr>
      <w:r>
        <w:rPr>
          <w:rFonts w:ascii="Arial" w:eastAsia="Arial" w:hAnsi="Arial" w:cs="Arial"/>
          <w:sz w:val="24"/>
          <w:szCs w:val="24"/>
        </w:rPr>
        <w:t>A pesar de los avances significativos en el tratamiento del CCR metastásico, múltiples desafíos persisten en la optimización de las estrategias terapéuticas. Uno de los principales objetivos de la investigación actual es mejorar la selección de tratamientos mediante biomarcadores predictivos confiables que permitan identificar a los pacientes con mayor probabilidad de beneficiarse de inmunoterapia, terapias dirigidas o combinaciones de ambas. Aunque diversas firmas transcriptómicas y biomarcadores inmunológ</w:t>
      </w:r>
      <w:r>
        <w:rPr>
          <w:rFonts w:ascii="Arial" w:eastAsia="Arial" w:hAnsi="Arial" w:cs="Arial"/>
          <w:sz w:val="24"/>
          <w:szCs w:val="24"/>
        </w:rPr>
        <w:t>icos han sido investigados (Tabla 3), ninguno ha demostrado aún una utilidad clínica suficientemente robusta para su implementación rutinaria en la práctica clínica [9,18].</w:t>
      </w:r>
    </w:p>
    <w:p w14:paraId="62206436" w14:textId="77777777" w:rsidR="004A7D55" w:rsidRDefault="007A4A91">
      <w:pPr>
        <w:rPr>
          <w:rFonts w:ascii="Arial" w:eastAsia="Arial" w:hAnsi="Arial" w:cs="Arial"/>
          <w:sz w:val="24"/>
          <w:szCs w:val="24"/>
        </w:rPr>
      </w:pPr>
      <w:r>
        <w:rPr>
          <w:rFonts w:ascii="Arial" w:eastAsia="Arial" w:hAnsi="Arial" w:cs="Arial"/>
          <w:sz w:val="24"/>
          <w:szCs w:val="24"/>
        </w:rPr>
        <w:t>En los últimos años, el desarrollo de terapias dirigidas contra nuevas dianas moleculares ha ampliado el arsenal terapéutico disponible. En particular, los inhibidores del factor inducible por hipoxia-2-alfa (HIF-2α), como Belzutifan, han demostrado actividad clínica relevante en carcinoma renal avanzado. Este fármaco actúa bloqueando la transcripción de genes regulados por HIF, que desempeñan un papel central en la angiogénesis y el metabolismo tumoral. Ensayos clínicos recientes han mostrado resultados pr</w:t>
      </w:r>
      <w:r>
        <w:rPr>
          <w:rFonts w:ascii="Arial" w:eastAsia="Arial" w:hAnsi="Arial" w:cs="Arial"/>
          <w:sz w:val="24"/>
          <w:szCs w:val="24"/>
        </w:rPr>
        <w:t>ometedores en pacientes previamente tratados, consolidando a los inhibidores de HIF-2α como una nueva estrategia terapéutica en el carcinoma renal [18].</w:t>
      </w:r>
    </w:p>
    <w:p w14:paraId="62206437" w14:textId="77777777" w:rsidR="004A7D55" w:rsidRDefault="007A4A91">
      <w:pPr>
        <w:rPr>
          <w:rFonts w:ascii="Arial" w:eastAsia="Arial" w:hAnsi="Arial" w:cs="Arial"/>
          <w:sz w:val="24"/>
          <w:szCs w:val="24"/>
        </w:rPr>
      </w:pPr>
      <w:r>
        <w:rPr>
          <w:rFonts w:ascii="Arial" w:eastAsia="Arial" w:hAnsi="Arial" w:cs="Arial"/>
          <w:sz w:val="24"/>
          <w:szCs w:val="24"/>
        </w:rPr>
        <w:t>Otro campo de investigación activa es el desarrollo de nuevas combinaciones terapéuticas que integren inmunoterapia, terapias dirigidas y agentes con mecanismos de acción novedosos. Diversos estudios en curso están evaluando combinaciones triples o secuencias terapéuticas optimizadas con el objetivo de mejorar la duración de la respuesta y retrasar la aparición de resistencia terapéutica. Asimismo, el análisis del microambiente tumoral y de la interacción entre el sistema inmunológico y las células tumorale</w:t>
      </w:r>
      <w:r>
        <w:rPr>
          <w:rFonts w:ascii="Arial" w:eastAsia="Arial" w:hAnsi="Arial" w:cs="Arial"/>
          <w:sz w:val="24"/>
          <w:szCs w:val="24"/>
        </w:rPr>
        <w:t>s podría contribuir a identificar nuevas dianas terapéuticas y estrategias de tratamiento más personalizadas [10,19].</w:t>
      </w:r>
    </w:p>
    <w:p w14:paraId="62206438" w14:textId="51C2F508" w:rsidR="004A7D55" w:rsidRDefault="007A4A91">
      <w:pPr>
        <w:rPr>
          <w:rFonts w:ascii="Arial" w:eastAsia="Arial" w:hAnsi="Arial" w:cs="Arial"/>
          <w:sz w:val="24"/>
          <w:szCs w:val="24"/>
        </w:rPr>
      </w:pPr>
      <w:r>
        <w:rPr>
          <w:rFonts w:ascii="Arial" w:eastAsia="Arial" w:hAnsi="Arial" w:cs="Arial"/>
          <w:sz w:val="24"/>
          <w:szCs w:val="24"/>
        </w:rPr>
        <w:t xml:space="preserve">Finalmente, los avances en tecnologías de secuenciación genómica y análisis molecular están permitiendo caracterizar con mayor precisión la heterogeneidad biológica del carcinoma renal. En el futuro, la integración de datos genómicos, </w:t>
      </w:r>
      <w:proofErr w:type="spellStart"/>
      <w:r>
        <w:rPr>
          <w:rFonts w:ascii="Arial" w:eastAsia="Arial" w:hAnsi="Arial" w:cs="Arial"/>
          <w:sz w:val="24"/>
          <w:szCs w:val="24"/>
        </w:rPr>
        <w:t>transcriptómicos</w:t>
      </w:r>
      <w:proofErr w:type="spellEnd"/>
      <w:r>
        <w:rPr>
          <w:rFonts w:ascii="Arial" w:eastAsia="Arial" w:hAnsi="Arial" w:cs="Arial"/>
          <w:sz w:val="24"/>
          <w:szCs w:val="24"/>
        </w:rPr>
        <w:t xml:space="preserve"> y clínicos podría facilitar el desarrollo de modelos predictivos que permitan individualizar las decisiones terapéuticas y avanzar hacia una verdadera medicina de precisión en el manejo del </w:t>
      </w:r>
      <w:r w:rsidR="009062E4">
        <w:rPr>
          <w:rFonts w:ascii="Arial" w:eastAsia="Arial" w:hAnsi="Arial" w:cs="Arial"/>
          <w:sz w:val="24"/>
          <w:szCs w:val="24"/>
        </w:rPr>
        <w:t>CCR</w:t>
      </w:r>
      <w:r>
        <w:rPr>
          <w:rFonts w:ascii="Arial" w:eastAsia="Arial" w:hAnsi="Arial" w:cs="Arial"/>
          <w:sz w:val="24"/>
          <w:szCs w:val="24"/>
        </w:rPr>
        <w:t xml:space="preserve"> [9,20].</w:t>
      </w:r>
    </w:p>
    <w:p w14:paraId="62206439" w14:textId="723E83C4" w:rsidR="004A7D55" w:rsidRDefault="007A4A91">
      <w:pPr>
        <w:rPr>
          <w:rFonts w:ascii="Arial" w:eastAsia="Arial" w:hAnsi="Arial" w:cs="Arial"/>
          <w:sz w:val="24"/>
          <w:szCs w:val="24"/>
        </w:rPr>
      </w:pPr>
      <w:r>
        <w:rPr>
          <w:rFonts w:ascii="Arial" w:eastAsia="Arial" w:hAnsi="Arial" w:cs="Arial"/>
          <w:sz w:val="24"/>
          <w:szCs w:val="24"/>
        </w:rPr>
        <w:lastRenderedPageBreak/>
        <w:t xml:space="preserve">En conjunto, estos avances sugieren que el tratamiento del </w:t>
      </w:r>
      <w:r w:rsidR="009062E4">
        <w:rPr>
          <w:rFonts w:ascii="Arial" w:eastAsia="Arial" w:hAnsi="Arial" w:cs="Arial"/>
          <w:sz w:val="24"/>
          <w:szCs w:val="24"/>
        </w:rPr>
        <w:t>CCR</w:t>
      </w:r>
      <w:r>
        <w:rPr>
          <w:rFonts w:ascii="Arial" w:eastAsia="Arial" w:hAnsi="Arial" w:cs="Arial"/>
          <w:sz w:val="24"/>
          <w:szCs w:val="24"/>
        </w:rPr>
        <w:t xml:space="preserve"> continuará evolucionando hacia estrategias cada vez más personalizadas, basadas en la integración de biomarcadores moleculares, características clínicas y nuevas terapias dirigidas.</w:t>
      </w:r>
    </w:p>
    <w:p w14:paraId="6220643A" w14:textId="16594D70" w:rsidR="004A7D55" w:rsidRDefault="007A4A91">
      <w:pPr>
        <w:rPr>
          <w:rFonts w:ascii="Arial" w:eastAsia="Arial" w:hAnsi="Arial" w:cs="Arial"/>
          <w:sz w:val="24"/>
          <w:szCs w:val="24"/>
        </w:rPr>
      </w:pPr>
      <w:r>
        <w:rPr>
          <w:rFonts w:ascii="Arial" w:eastAsia="Arial" w:hAnsi="Arial" w:cs="Arial"/>
          <w:sz w:val="24"/>
          <w:szCs w:val="24"/>
        </w:rPr>
        <w:t xml:space="preserve">En el futuro, la integración de datos genómicos, </w:t>
      </w:r>
      <w:proofErr w:type="spellStart"/>
      <w:r>
        <w:rPr>
          <w:rFonts w:ascii="Arial" w:eastAsia="Arial" w:hAnsi="Arial" w:cs="Arial"/>
          <w:sz w:val="24"/>
          <w:szCs w:val="24"/>
        </w:rPr>
        <w:t>transcriptómicos</w:t>
      </w:r>
      <w:proofErr w:type="spellEnd"/>
      <w:r>
        <w:rPr>
          <w:rFonts w:ascii="Arial" w:eastAsia="Arial" w:hAnsi="Arial" w:cs="Arial"/>
          <w:sz w:val="24"/>
          <w:szCs w:val="24"/>
        </w:rPr>
        <w:t xml:space="preserve"> y del microambiente tumoral podría permitir estrategias terapéuticas verdaderamente personalizadas en el </w:t>
      </w:r>
      <w:r w:rsidR="00EF3DE7">
        <w:rPr>
          <w:rFonts w:ascii="Arial" w:eastAsia="Arial" w:hAnsi="Arial" w:cs="Arial"/>
          <w:sz w:val="24"/>
          <w:szCs w:val="24"/>
        </w:rPr>
        <w:t>CCR</w:t>
      </w:r>
      <w:r>
        <w:rPr>
          <w:rFonts w:ascii="Arial" w:eastAsia="Arial" w:hAnsi="Arial" w:cs="Arial"/>
          <w:sz w:val="24"/>
          <w:szCs w:val="24"/>
        </w:rPr>
        <w:t>.</w:t>
      </w:r>
    </w:p>
    <w:p w14:paraId="6220643B" w14:textId="77777777" w:rsidR="004A7D55" w:rsidRDefault="004A7D55">
      <w:pPr>
        <w:rPr>
          <w:rFonts w:ascii="Arial" w:eastAsia="Arial" w:hAnsi="Arial" w:cs="Arial"/>
          <w:b/>
          <w:bCs/>
          <w:sz w:val="24"/>
          <w:szCs w:val="24"/>
        </w:rPr>
      </w:pPr>
    </w:p>
    <w:p w14:paraId="6220643C" w14:textId="77777777" w:rsidR="004A7D55" w:rsidRDefault="004A7D55">
      <w:pPr>
        <w:rPr>
          <w:rFonts w:ascii="Arial" w:eastAsia="Arial" w:hAnsi="Arial" w:cs="Arial"/>
          <w:b/>
          <w:bCs/>
          <w:sz w:val="24"/>
          <w:szCs w:val="24"/>
        </w:rPr>
      </w:pPr>
    </w:p>
    <w:p w14:paraId="6220643D" w14:textId="77777777" w:rsidR="004A7D55" w:rsidRDefault="004A7D55">
      <w:pPr>
        <w:rPr>
          <w:rFonts w:ascii="Arial" w:eastAsia="Arial" w:hAnsi="Arial" w:cs="Arial"/>
          <w:b/>
          <w:bCs/>
          <w:sz w:val="24"/>
          <w:szCs w:val="24"/>
        </w:rPr>
      </w:pPr>
    </w:p>
    <w:p w14:paraId="6220643E" w14:textId="77777777" w:rsidR="004A7D55" w:rsidRDefault="004A7D55">
      <w:pPr>
        <w:rPr>
          <w:rFonts w:ascii="Arial" w:eastAsia="Arial" w:hAnsi="Arial" w:cs="Arial"/>
          <w:b/>
          <w:bCs/>
          <w:sz w:val="24"/>
          <w:szCs w:val="24"/>
        </w:rPr>
      </w:pPr>
    </w:p>
    <w:p w14:paraId="6220643F" w14:textId="77777777" w:rsidR="004A7D55" w:rsidRDefault="004A7D55">
      <w:pPr>
        <w:rPr>
          <w:rFonts w:ascii="Arial" w:eastAsia="Arial" w:hAnsi="Arial" w:cs="Arial"/>
          <w:b/>
          <w:bCs/>
          <w:sz w:val="24"/>
          <w:szCs w:val="24"/>
        </w:rPr>
      </w:pPr>
    </w:p>
    <w:p w14:paraId="62206440" w14:textId="77777777" w:rsidR="004A7D55" w:rsidRDefault="004A7D55">
      <w:pPr>
        <w:rPr>
          <w:rFonts w:ascii="Arial" w:eastAsia="Arial" w:hAnsi="Arial" w:cs="Arial"/>
          <w:b/>
          <w:bCs/>
          <w:sz w:val="24"/>
          <w:szCs w:val="24"/>
        </w:rPr>
      </w:pPr>
    </w:p>
    <w:p w14:paraId="62206441" w14:textId="77777777" w:rsidR="004A7D55" w:rsidRDefault="004A7D55">
      <w:pPr>
        <w:rPr>
          <w:rFonts w:ascii="Arial" w:eastAsia="Arial" w:hAnsi="Arial" w:cs="Arial"/>
          <w:b/>
          <w:bCs/>
          <w:sz w:val="24"/>
          <w:szCs w:val="24"/>
        </w:rPr>
      </w:pPr>
    </w:p>
    <w:p w14:paraId="62206442" w14:textId="77777777" w:rsidR="004A7D55" w:rsidRDefault="004A7D55">
      <w:pPr>
        <w:rPr>
          <w:rFonts w:ascii="Arial" w:eastAsia="Arial" w:hAnsi="Arial" w:cs="Arial"/>
          <w:b/>
          <w:bCs/>
          <w:sz w:val="24"/>
          <w:szCs w:val="24"/>
        </w:rPr>
      </w:pPr>
    </w:p>
    <w:p w14:paraId="62206443" w14:textId="77777777" w:rsidR="004A7D55" w:rsidRDefault="004A7D55">
      <w:pPr>
        <w:rPr>
          <w:rFonts w:ascii="Arial" w:eastAsia="Arial" w:hAnsi="Arial" w:cs="Arial"/>
          <w:b/>
          <w:bCs/>
          <w:sz w:val="24"/>
          <w:szCs w:val="24"/>
        </w:rPr>
      </w:pPr>
    </w:p>
    <w:p w14:paraId="62206444" w14:textId="77777777" w:rsidR="004A7D55" w:rsidRDefault="004A7D55">
      <w:pPr>
        <w:rPr>
          <w:rFonts w:ascii="Arial" w:eastAsia="Arial" w:hAnsi="Arial" w:cs="Arial"/>
          <w:b/>
          <w:bCs/>
          <w:sz w:val="24"/>
          <w:szCs w:val="24"/>
        </w:rPr>
      </w:pPr>
    </w:p>
    <w:p w14:paraId="62206445" w14:textId="77777777" w:rsidR="004A7D55" w:rsidRDefault="004A7D55">
      <w:pPr>
        <w:rPr>
          <w:rFonts w:ascii="Arial" w:eastAsia="Arial" w:hAnsi="Arial" w:cs="Arial"/>
          <w:b/>
          <w:bCs/>
          <w:sz w:val="24"/>
          <w:szCs w:val="24"/>
        </w:rPr>
      </w:pPr>
    </w:p>
    <w:p w14:paraId="62206446" w14:textId="77777777" w:rsidR="004A7D55" w:rsidRDefault="004A7D55">
      <w:pPr>
        <w:rPr>
          <w:rFonts w:ascii="Arial" w:eastAsia="Arial" w:hAnsi="Arial" w:cs="Arial"/>
          <w:b/>
          <w:bCs/>
          <w:sz w:val="24"/>
          <w:szCs w:val="24"/>
        </w:rPr>
      </w:pPr>
    </w:p>
    <w:p w14:paraId="62206447" w14:textId="77777777" w:rsidR="004A7D55" w:rsidRDefault="004A7D55">
      <w:pPr>
        <w:rPr>
          <w:rFonts w:ascii="Arial" w:eastAsia="Arial" w:hAnsi="Arial" w:cs="Arial"/>
          <w:b/>
          <w:bCs/>
          <w:sz w:val="24"/>
          <w:szCs w:val="24"/>
        </w:rPr>
      </w:pPr>
    </w:p>
    <w:p w14:paraId="62206448" w14:textId="77777777" w:rsidR="004A7D55" w:rsidRDefault="004A7D55">
      <w:pPr>
        <w:rPr>
          <w:rFonts w:ascii="Arial" w:eastAsia="Arial" w:hAnsi="Arial" w:cs="Arial"/>
          <w:b/>
          <w:bCs/>
          <w:sz w:val="24"/>
          <w:szCs w:val="24"/>
        </w:rPr>
      </w:pPr>
    </w:p>
    <w:p w14:paraId="62206449" w14:textId="77777777" w:rsidR="004A7D55" w:rsidRDefault="004A7D55">
      <w:pPr>
        <w:rPr>
          <w:rFonts w:ascii="Arial" w:eastAsia="Arial" w:hAnsi="Arial" w:cs="Arial"/>
          <w:b/>
          <w:bCs/>
          <w:sz w:val="24"/>
          <w:szCs w:val="24"/>
        </w:rPr>
      </w:pPr>
    </w:p>
    <w:p w14:paraId="6220644A" w14:textId="77777777" w:rsidR="004A7D55" w:rsidRDefault="004A7D55">
      <w:pPr>
        <w:rPr>
          <w:rFonts w:ascii="Arial" w:eastAsia="Arial" w:hAnsi="Arial" w:cs="Arial"/>
          <w:b/>
          <w:bCs/>
          <w:sz w:val="24"/>
          <w:szCs w:val="24"/>
        </w:rPr>
      </w:pPr>
    </w:p>
    <w:p w14:paraId="62206453" w14:textId="77777777" w:rsidR="004A7D55" w:rsidRDefault="004A7D55">
      <w:pPr>
        <w:rPr>
          <w:rFonts w:ascii="Arial" w:eastAsia="Arial" w:hAnsi="Arial" w:cs="Arial"/>
          <w:b/>
          <w:bCs/>
          <w:sz w:val="24"/>
          <w:szCs w:val="24"/>
        </w:rPr>
      </w:pPr>
    </w:p>
    <w:p w14:paraId="313D98B4" w14:textId="77777777" w:rsidR="00EF3DE7" w:rsidRDefault="00EF3DE7">
      <w:pPr>
        <w:rPr>
          <w:rFonts w:ascii="Arial" w:eastAsia="Arial" w:hAnsi="Arial" w:cs="Arial"/>
          <w:b/>
          <w:bCs/>
          <w:sz w:val="24"/>
          <w:szCs w:val="24"/>
        </w:rPr>
      </w:pPr>
    </w:p>
    <w:p w14:paraId="7160451D" w14:textId="77777777" w:rsidR="00CD2FBC" w:rsidRDefault="00CD2FBC">
      <w:pPr>
        <w:rPr>
          <w:rFonts w:ascii="Arial" w:eastAsia="Arial" w:hAnsi="Arial" w:cs="Arial"/>
          <w:b/>
          <w:bCs/>
          <w:sz w:val="24"/>
          <w:szCs w:val="24"/>
        </w:rPr>
      </w:pPr>
    </w:p>
    <w:p w14:paraId="155DF160" w14:textId="77777777" w:rsidR="00CD2FBC" w:rsidRDefault="00CD2FBC">
      <w:pPr>
        <w:rPr>
          <w:rFonts w:ascii="Arial" w:eastAsia="Arial" w:hAnsi="Arial" w:cs="Arial"/>
          <w:b/>
          <w:bCs/>
          <w:sz w:val="24"/>
          <w:szCs w:val="24"/>
        </w:rPr>
      </w:pPr>
    </w:p>
    <w:p w14:paraId="6957ABB4" w14:textId="77777777" w:rsidR="00CD2FBC" w:rsidRDefault="00CD2FBC">
      <w:pPr>
        <w:rPr>
          <w:rFonts w:ascii="Arial" w:eastAsia="Arial" w:hAnsi="Arial" w:cs="Arial"/>
          <w:b/>
          <w:bCs/>
          <w:sz w:val="24"/>
          <w:szCs w:val="24"/>
        </w:rPr>
      </w:pPr>
    </w:p>
    <w:p w14:paraId="3ECCACD0" w14:textId="77777777" w:rsidR="00CD2FBC" w:rsidRDefault="00CD2FBC">
      <w:pPr>
        <w:rPr>
          <w:rFonts w:ascii="Arial" w:eastAsia="Arial" w:hAnsi="Arial" w:cs="Arial"/>
          <w:b/>
          <w:bCs/>
          <w:sz w:val="24"/>
          <w:szCs w:val="24"/>
        </w:rPr>
      </w:pPr>
    </w:p>
    <w:p w14:paraId="62206454" w14:textId="0DF9AF74" w:rsidR="004A7D55" w:rsidRDefault="007A4A91">
      <w:pPr>
        <w:rPr>
          <w:rFonts w:ascii="Arial" w:eastAsia="Arial" w:hAnsi="Arial" w:cs="Arial"/>
          <w:b/>
          <w:bCs/>
          <w:sz w:val="24"/>
          <w:szCs w:val="24"/>
        </w:rPr>
      </w:pPr>
      <w:r>
        <w:rPr>
          <w:rFonts w:ascii="Arial" w:eastAsia="Arial" w:hAnsi="Arial" w:cs="Arial"/>
          <w:b/>
          <w:bCs/>
          <w:sz w:val="24"/>
          <w:szCs w:val="24"/>
        </w:rPr>
        <w:lastRenderedPageBreak/>
        <w:t>Tabla 3: Principales alteraciones moleculares y biomarcadores en carcinoma renal de células claras</w:t>
      </w:r>
    </w:p>
    <w:tbl>
      <w:tblPr>
        <w:tblStyle w:val="a1"/>
        <w:tblW w:w="9360" w:type="dxa"/>
        <w:tblInd w:w="0"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1756"/>
        <w:gridCol w:w="2723"/>
        <w:gridCol w:w="1766"/>
        <w:gridCol w:w="3115"/>
      </w:tblGrid>
      <w:tr w:rsidR="004A7D55" w14:paraId="62206459" w14:textId="77777777">
        <w:trPr>
          <w:tblHeader/>
        </w:trPr>
        <w:tc>
          <w:tcPr>
            <w:tcW w:w="1756" w:type="dxa"/>
            <w:vAlign w:val="center"/>
          </w:tcPr>
          <w:p w14:paraId="62206455" w14:textId="77777777" w:rsidR="004A7D55" w:rsidRDefault="007A4A91">
            <w:pPr>
              <w:jc w:val="center"/>
              <w:rPr>
                <w:rFonts w:ascii="Arial" w:eastAsia="Arial" w:hAnsi="Arial" w:cs="Arial"/>
                <w:b/>
                <w:bCs/>
                <w:sz w:val="24"/>
                <w:szCs w:val="24"/>
              </w:rPr>
            </w:pPr>
            <w:r>
              <w:rPr>
                <w:rFonts w:ascii="Arial" w:eastAsia="Arial" w:hAnsi="Arial" w:cs="Arial"/>
                <w:b/>
                <w:bCs/>
                <w:sz w:val="24"/>
                <w:szCs w:val="24"/>
              </w:rPr>
              <w:t>Gen / biomarcador</w:t>
            </w:r>
          </w:p>
        </w:tc>
        <w:tc>
          <w:tcPr>
            <w:tcW w:w="2723" w:type="dxa"/>
            <w:vAlign w:val="center"/>
          </w:tcPr>
          <w:p w14:paraId="62206456" w14:textId="77777777" w:rsidR="004A7D55" w:rsidRDefault="007A4A91">
            <w:pPr>
              <w:jc w:val="center"/>
              <w:rPr>
                <w:rFonts w:ascii="Arial" w:eastAsia="Arial" w:hAnsi="Arial" w:cs="Arial"/>
                <w:b/>
                <w:bCs/>
                <w:sz w:val="24"/>
                <w:szCs w:val="24"/>
              </w:rPr>
            </w:pPr>
            <w:r>
              <w:rPr>
                <w:rFonts w:ascii="Arial" w:eastAsia="Arial" w:hAnsi="Arial" w:cs="Arial"/>
                <w:b/>
                <w:bCs/>
                <w:sz w:val="24"/>
                <w:szCs w:val="24"/>
              </w:rPr>
              <w:t>Función biológica</w:t>
            </w:r>
          </w:p>
        </w:tc>
        <w:tc>
          <w:tcPr>
            <w:tcW w:w="1766" w:type="dxa"/>
            <w:vAlign w:val="center"/>
          </w:tcPr>
          <w:p w14:paraId="62206457" w14:textId="77777777" w:rsidR="004A7D55" w:rsidRDefault="007A4A91">
            <w:pPr>
              <w:jc w:val="center"/>
              <w:rPr>
                <w:rFonts w:ascii="Arial" w:eastAsia="Arial" w:hAnsi="Arial" w:cs="Arial"/>
                <w:b/>
                <w:bCs/>
                <w:sz w:val="24"/>
                <w:szCs w:val="24"/>
              </w:rPr>
            </w:pPr>
            <w:r>
              <w:rPr>
                <w:rFonts w:ascii="Arial" w:eastAsia="Arial" w:hAnsi="Arial" w:cs="Arial"/>
                <w:b/>
                <w:bCs/>
                <w:sz w:val="24"/>
                <w:szCs w:val="24"/>
              </w:rPr>
              <w:t xml:space="preserve">Frecuencia aproximada en </w:t>
            </w:r>
            <w:proofErr w:type="spellStart"/>
            <w:r>
              <w:rPr>
                <w:rFonts w:ascii="Arial" w:eastAsia="Arial" w:hAnsi="Arial" w:cs="Arial"/>
                <w:b/>
                <w:bCs/>
                <w:sz w:val="24"/>
                <w:szCs w:val="24"/>
              </w:rPr>
              <w:t>ccRCC</w:t>
            </w:r>
            <w:proofErr w:type="spellEnd"/>
          </w:p>
        </w:tc>
        <w:tc>
          <w:tcPr>
            <w:tcW w:w="3115" w:type="dxa"/>
            <w:vAlign w:val="center"/>
          </w:tcPr>
          <w:p w14:paraId="62206458" w14:textId="77777777" w:rsidR="004A7D55" w:rsidRDefault="007A4A91">
            <w:pPr>
              <w:jc w:val="center"/>
              <w:rPr>
                <w:rFonts w:ascii="Arial" w:eastAsia="Arial" w:hAnsi="Arial" w:cs="Arial"/>
                <w:b/>
                <w:bCs/>
                <w:sz w:val="24"/>
                <w:szCs w:val="24"/>
              </w:rPr>
            </w:pPr>
            <w:r>
              <w:rPr>
                <w:rFonts w:ascii="Arial" w:eastAsia="Arial" w:hAnsi="Arial" w:cs="Arial"/>
                <w:b/>
                <w:bCs/>
                <w:sz w:val="24"/>
                <w:szCs w:val="24"/>
              </w:rPr>
              <w:t>Implicancias clínicas</w:t>
            </w:r>
          </w:p>
        </w:tc>
      </w:tr>
      <w:tr w:rsidR="004A7D55" w14:paraId="6220645E" w14:textId="77777777">
        <w:tc>
          <w:tcPr>
            <w:tcW w:w="1756" w:type="dxa"/>
            <w:vAlign w:val="center"/>
          </w:tcPr>
          <w:p w14:paraId="6220645A" w14:textId="77777777" w:rsidR="004A7D55" w:rsidRDefault="007A4A91">
            <w:pPr>
              <w:jc w:val="center"/>
              <w:rPr>
                <w:rFonts w:ascii="Arial" w:eastAsia="Arial" w:hAnsi="Arial" w:cs="Arial"/>
                <w:b/>
                <w:bCs/>
                <w:sz w:val="24"/>
                <w:szCs w:val="24"/>
              </w:rPr>
            </w:pPr>
            <w:r>
              <w:rPr>
                <w:rFonts w:ascii="Arial" w:eastAsia="Arial" w:hAnsi="Arial" w:cs="Arial"/>
                <w:b/>
                <w:bCs/>
                <w:sz w:val="24"/>
                <w:szCs w:val="24"/>
              </w:rPr>
              <w:t>VHL</w:t>
            </w:r>
          </w:p>
        </w:tc>
        <w:tc>
          <w:tcPr>
            <w:tcW w:w="2723" w:type="dxa"/>
            <w:vAlign w:val="center"/>
          </w:tcPr>
          <w:p w14:paraId="6220645B" w14:textId="77777777" w:rsidR="004A7D55" w:rsidRDefault="007A4A91">
            <w:pPr>
              <w:jc w:val="center"/>
              <w:rPr>
                <w:rFonts w:ascii="Arial" w:eastAsia="Arial" w:hAnsi="Arial" w:cs="Arial"/>
                <w:sz w:val="24"/>
                <w:szCs w:val="24"/>
              </w:rPr>
            </w:pPr>
            <w:r>
              <w:rPr>
                <w:rFonts w:ascii="Arial" w:eastAsia="Arial" w:hAnsi="Arial" w:cs="Arial"/>
                <w:sz w:val="24"/>
                <w:szCs w:val="24"/>
              </w:rPr>
              <w:t>Regulación de la respuesta a hipoxia mediante degradación de HIF</w:t>
            </w:r>
          </w:p>
        </w:tc>
        <w:tc>
          <w:tcPr>
            <w:tcW w:w="1766" w:type="dxa"/>
            <w:vAlign w:val="center"/>
          </w:tcPr>
          <w:p w14:paraId="6220645C" w14:textId="77777777" w:rsidR="004A7D55" w:rsidRDefault="007A4A91">
            <w:pPr>
              <w:jc w:val="center"/>
              <w:rPr>
                <w:rFonts w:ascii="Arial" w:eastAsia="Arial" w:hAnsi="Arial" w:cs="Arial"/>
                <w:sz w:val="24"/>
                <w:szCs w:val="24"/>
              </w:rPr>
            </w:pPr>
            <w:r>
              <w:rPr>
                <w:rFonts w:ascii="Arial" w:eastAsia="Arial" w:hAnsi="Arial" w:cs="Arial"/>
                <w:sz w:val="24"/>
                <w:szCs w:val="24"/>
              </w:rPr>
              <w:t>~80–90%</w:t>
            </w:r>
          </w:p>
        </w:tc>
        <w:tc>
          <w:tcPr>
            <w:tcW w:w="3115" w:type="dxa"/>
            <w:vAlign w:val="center"/>
          </w:tcPr>
          <w:p w14:paraId="6220645D" w14:textId="77777777" w:rsidR="004A7D55" w:rsidRDefault="007A4A91">
            <w:pPr>
              <w:jc w:val="center"/>
              <w:rPr>
                <w:rFonts w:ascii="Arial" w:eastAsia="Arial" w:hAnsi="Arial" w:cs="Arial"/>
                <w:sz w:val="24"/>
                <w:szCs w:val="24"/>
              </w:rPr>
            </w:pPr>
            <w:r>
              <w:rPr>
                <w:rFonts w:ascii="Arial" w:eastAsia="Arial" w:hAnsi="Arial" w:cs="Arial"/>
                <w:sz w:val="24"/>
                <w:szCs w:val="24"/>
              </w:rPr>
              <w:t>Evento driver temprano; base biológica de la angiogénesis tumoral y del desarrollo de terapias anti-VEGF</w:t>
            </w:r>
          </w:p>
        </w:tc>
      </w:tr>
      <w:tr w:rsidR="004A7D55" w14:paraId="62206463" w14:textId="77777777">
        <w:tc>
          <w:tcPr>
            <w:tcW w:w="1756" w:type="dxa"/>
            <w:vAlign w:val="center"/>
          </w:tcPr>
          <w:p w14:paraId="6220645F" w14:textId="77777777" w:rsidR="004A7D55" w:rsidRDefault="007A4A91">
            <w:pPr>
              <w:jc w:val="center"/>
              <w:rPr>
                <w:rFonts w:ascii="Arial" w:eastAsia="Arial" w:hAnsi="Arial" w:cs="Arial"/>
                <w:b/>
                <w:bCs/>
                <w:sz w:val="24"/>
                <w:szCs w:val="24"/>
              </w:rPr>
            </w:pPr>
            <w:r>
              <w:rPr>
                <w:rFonts w:ascii="Arial" w:eastAsia="Arial" w:hAnsi="Arial" w:cs="Arial"/>
                <w:b/>
                <w:bCs/>
                <w:sz w:val="24"/>
                <w:szCs w:val="24"/>
              </w:rPr>
              <w:t>PBRM1</w:t>
            </w:r>
          </w:p>
        </w:tc>
        <w:tc>
          <w:tcPr>
            <w:tcW w:w="2723" w:type="dxa"/>
            <w:vAlign w:val="center"/>
          </w:tcPr>
          <w:p w14:paraId="62206460" w14:textId="77777777" w:rsidR="004A7D55" w:rsidRDefault="007A4A91">
            <w:pPr>
              <w:jc w:val="center"/>
              <w:rPr>
                <w:rFonts w:ascii="Arial" w:eastAsia="Arial" w:hAnsi="Arial" w:cs="Arial"/>
                <w:sz w:val="24"/>
                <w:szCs w:val="24"/>
              </w:rPr>
            </w:pPr>
            <w:r>
              <w:rPr>
                <w:rFonts w:ascii="Arial" w:eastAsia="Arial" w:hAnsi="Arial" w:cs="Arial"/>
                <w:sz w:val="24"/>
                <w:szCs w:val="24"/>
              </w:rPr>
              <w:t>Remodelación de cromatina (complejo SWI/SNF)</w:t>
            </w:r>
          </w:p>
        </w:tc>
        <w:tc>
          <w:tcPr>
            <w:tcW w:w="1766" w:type="dxa"/>
            <w:vAlign w:val="center"/>
          </w:tcPr>
          <w:p w14:paraId="62206461" w14:textId="77777777" w:rsidR="004A7D55" w:rsidRDefault="007A4A91">
            <w:pPr>
              <w:jc w:val="center"/>
              <w:rPr>
                <w:rFonts w:ascii="Arial" w:eastAsia="Arial" w:hAnsi="Arial" w:cs="Arial"/>
                <w:sz w:val="24"/>
                <w:szCs w:val="24"/>
              </w:rPr>
            </w:pPr>
            <w:r>
              <w:rPr>
                <w:rFonts w:ascii="Arial" w:eastAsia="Arial" w:hAnsi="Arial" w:cs="Arial"/>
                <w:sz w:val="24"/>
                <w:szCs w:val="24"/>
              </w:rPr>
              <w:t>~40%</w:t>
            </w:r>
          </w:p>
        </w:tc>
        <w:tc>
          <w:tcPr>
            <w:tcW w:w="3115" w:type="dxa"/>
            <w:vAlign w:val="center"/>
          </w:tcPr>
          <w:p w14:paraId="62206462" w14:textId="77777777" w:rsidR="004A7D55" w:rsidRDefault="007A4A91">
            <w:pPr>
              <w:jc w:val="center"/>
              <w:rPr>
                <w:rFonts w:ascii="Arial" w:eastAsia="Arial" w:hAnsi="Arial" w:cs="Arial"/>
                <w:sz w:val="24"/>
                <w:szCs w:val="24"/>
              </w:rPr>
            </w:pPr>
            <w:r>
              <w:rPr>
                <w:rFonts w:ascii="Arial" w:eastAsia="Arial" w:hAnsi="Arial" w:cs="Arial"/>
                <w:sz w:val="24"/>
                <w:szCs w:val="24"/>
              </w:rPr>
              <w:t>Asociado con características biológicas específicas del tumor y posible influencia en respuesta a inmunoterapia</w:t>
            </w:r>
          </w:p>
        </w:tc>
      </w:tr>
      <w:tr w:rsidR="004A7D55" w14:paraId="62206468" w14:textId="77777777">
        <w:tc>
          <w:tcPr>
            <w:tcW w:w="1756" w:type="dxa"/>
            <w:vAlign w:val="center"/>
          </w:tcPr>
          <w:p w14:paraId="62206464" w14:textId="77777777" w:rsidR="004A7D55" w:rsidRDefault="007A4A91">
            <w:pPr>
              <w:jc w:val="center"/>
              <w:rPr>
                <w:rFonts w:ascii="Arial" w:eastAsia="Arial" w:hAnsi="Arial" w:cs="Arial"/>
                <w:b/>
                <w:bCs/>
                <w:sz w:val="24"/>
                <w:szCs w:val="24"/>
              </w:rPr>
            </w:pPr>
            <w:r>
              <w:rPr>
                <w:rFonts w:ascii="Arial" w:eastAsia="Arial" w:hAnsi="Arial" w:cs="Arial"/>
                <w:b/>
                <w:bCs/>
                <w:sz w:val="24"/>
                <w:szCs w:val="24"/>
              </w:rPr>
              <w:t>BAP1</w:t>
            </w:r>
          </w:p>
        </w:tc>
        <w:tc>
          <w:tcPr>
            <w:tcW w:w="2723" w:type="dxa"/>
            <w:vAlign w:val="center"/>
          </w:tcPr>
          <w:p w14:paraId="62206465" w14:textId="77777777" w:rsidR="004A7D55" w:rsidRDefault="007A4A91">
            <w:pPr>
              <w:jc w:val="center"/>
              <w:rPr>
                <w:rFonts w:ascii="Arial" w:eastAsia="Arial" w:hAnsi="Arial" w:cs="Arial"/>
                <w:sz w:val="24"/>
                <w:szCs w:val="24"/>
              </w:rPr>
            </w:pPr>
            <w:r>
              <w:rPr>
                <w:rFonts w:ascii="Arial" w:eastAsia="Arial" w:hAnsi="Arial" w:cs="Arial"/>
                <w:sz w:val="24"/>
                <w:szCs w:val="24"/>
              </w:rPr>
              <w:t>Regulación epigenética y reparación del ADN</w:t>
            </w:r>
          </w:p>
        </w:tc>
        <w:tc>
          <w:tcPr>
            <w:tcW w:w="1766" w:type="dxa"/>
            <w:vAlign w:val="center"/>
          </w:tcPr>
          <w:p w14:paraId="62206466" w14:textId="77777777" w:rsidR="004A7D55" w:rsidRDefault="007A4A91">
            <w:pPr>
              <w:jc w:val="center"/>
              <w:rPr>
                <w:rFonts w:ascii="Arial" w:eastAsia="Arial" w:hAnsi="Arial" w:cs="Arial"/>
                <w:sz w:val="24"/>
                <w:szCs w:val="24"/>
              </w:rPr>
            </w:pPr>
            <w:r>
              <w:rPr>
                <w:rFonts w:ascii="Arial" w:eastAsia="Arial" w:hAnsi="Arial" w:cs="Arial"/>
                <w:sz w:val="24"/>
                <w:szCs w:val="24"/>
              </w:rPr>
              <w:t>~10–15%</w:t>
            </w:r>
          </w:p>
        </w:tc>
        <w:tc>
          <w:tcPr>
            <w:tcW w:w="3115" w:type="dxa"/>
            <w:vAlign w:val="center"/>
          </w:tcPr>
          <w:p w14:paraId="62206467" w14:textId="77777777" w:rsidR="004A7D55" w:rsidRDefault="007A4A91">
            <w:pPr>
              <w:jc w:val="center"/>
              <w:rPr>
                <w:rFonts w:ascii="Arial" w:eastAsia="Arial" w:hAnsi="Arial" w:cs="Arial"/>
                <w:sz w:val="24"/>
                <w:szCs w:val="24"/>
              </w:rPr>
            </w:pPr>
            <w:r>
              <w:rPr>
                <w:rFonts w:ascii="Arial" w:eastAsia="Arial" w:hAnsi="Arial" w:cs="Arial"/>
                <w:sz w:val="24"/>
                <w:szCs w:val="24"/>
              </w:rPr>
              <w:t>Asociado a tumores más agresivos y peor pronóstico</w:t>
            </w:r>
          </w:p>
        </w:tc>
      </w:tr>
      <w:tr w:rsidR="004A7D55" w14:paraId="6220646D" w14:textId="77777777">
        <w:tc>
          <w:tcPr>
            <w:tcW w:w="1756" w:type="dxa"/>
            <w:vAlign w:val="center"/>
          </w:tcPr>
          <w:p w14:paraId="62206469" w14:textId="77777777" w:rsidR="004A7D55" w:rsidRDefault="007A4A91">
            <w:pPr>
              <w:jc w:val="center"/>
              <w:rPr>
                <w:rFonts w:ascii="Arial" w:eastAsia="Arial" w:hAnsi="Arial" w:cs="Arial"/>
                <w:b/>
                <w:bCs/>
                <w:sz w:val="24"/>
                <w:szCs w:val="24"/>
              </w:rPr>
            </w:pPr>
            <w:r>
              <w:rPr>
                <w:rFonts w:ascii="Arial" w:eastAsia="Arial" w:hAnsi="Arial" w:cs="Arial"/>
                <w:b/>
                <w:bCs/>
                <w:sz w:val="24"/>
                <w:szCs w:val="24"/>
              </w:rPr>
              <w:t>SETD2</w:t>
            </w:r>
          </w:p>
        </w:tc>
        <w:tc>
          <w:tcPr>
            <w:tcW w:w="2723" w:type="dxa"/>
            <w:vAlign w:val="center"/>
          </w:tcPr>
          <w:p w14:paraId="6220646A" w14:textId="77777777" w:rsidR="004A7D55" w:rsidRDefault="007A4A91">
            <w:pPr>
              <w:jc w:val="center"/>
              <w:rPr>
                <w:rFonts w:ascii="Arial" w:eastAsia="Arial" w:hAnsi="Arial" w:cs="Arial"/>
                <w:sz w:val="24"/>
                <w:szCs w:val="24"/>
              </w:rPr>
            </w:pPr>
            <w:r>
              <w:rPr>
                <w:rFonts w:ascii="Arial" w:eastAsia="Arial" w:hAnsi="Arial" w:cs="Arial"/>
                <w:sz w:val="24"/>
                <w:szCs w:val="24"/>
              </w:rPr>
              <w:t>Metilación de histonas y regulación epigenética</w:t>
            </w:r>
          </w:p>
        </w:tc>
        <w:tc>
          <w:tcPr>
            <w:tcW w:w="1766" w:type="dxa"/>
            <w:vAlign w:val="center"/>
          </w:tcPr>
          <w:p w14:paraId="6220646B" w14:textId="77777777" w:rsidR="004A7D55" w:rsidRDefault="007A4A91">
            <w:pPr>
              <w:jc w:val="center"/>
              <w:rPr>
                <w:rFonts w:ascii="Arial" w:eastAsia="Arial" w:hAnsi="Arial" w:cs="Arial"/>
                <w:sz w:val="24"/>
                <w:szCs w:val="24"/>
              </w:rPr>
            </w:pPr>
            <w:r>
              <w:rPr>
                <w:rFonts w:ascii="Arial" w:eastAsia="Arial" w:hAnsi="Arial" w:cs="Arial"/>
                <w:sz w:val="24"/>
                <w:szCs w:val="24"/>
              </w:rPr>
              <w:t>~10–15%</w:t>
            </w:r>
          </w:p>
        </w:tc>
        <w:tc>
          <w:tcPr>
            <w:tcW w:w="3115" w:type="dxa"/>
            <w:vAlign w:val="center"/>
          </w:tcPr>
          <w:p w14:paraId="6220646C" w14:textId="77777777" w:rsidR="004A7D55" w:rsidRDefault="007A4A91">
            <w:pPr>
              <w:jc w:val="center"/>
              <w:rPr>
                <w:rFonts w:ascii="Arial" w:eastAsia="Arial" w:hAnsi="Arial" w:cs="Arial"/>
                <w:sz w:val="24"/>
                <w:szCs w:val="24"/>
              </w:rPr>
            </w:pPr>
            <w:r>
              <w:rPr>
                <w:rFonts w:ascii="Arial" w:eastAsia="Arial" w:hAnsi="Arial" w:cs="Arial"/>
                <w:sz w:val="24"/>
                <w:szCs w:val="24"/>
              </w:rPr>
              <w:t>Relacionado con inestabilidad genómica y progresión tumoral</w:t>
            </w:r>
          </w:p>
        </w:tc>
      </w:tr>
      <w:tr w:rsidR="004A7D55" w14:paraId="62206472" w14:textId="77777777">
        <w:tc>
          <w:tcPr>
            <w:tcW w:w="1756" w:type="dxa"/>
            <w:vAlign w:val="center"/>
          </w:tcPr>
          <w:p w14:paraId="6220646E" w14:textId="77777777" w:rsidR="004A7D55" w:rsidRDefault="007A4A91">
            <w:pPr>
              <w:jc w:val="center"/>
              <w:rPr>
                <w:rFonts w:ascii="Arial" w:eastAsia="Arial" w:hAnsi="Arial" w:cs="Arial"/>
                <w:b/>
                <w:bCs/>
                <w:sz w:val="24"/>
                <w:szCs w:val="24"/>
              </w:rPr>
            </w:pPr>
            <w:r>
              <w:rPr>
                <w:rFonts w:ascii="Arial" w:eastAsia="Arial" w:hAnsi="Arial" w:cs="Arial"/>
                <w:b/>
                <w:bCs/>
                <w:sz w:val="24"/>
                <w:szCs w:val="24"/>
              </w:rPr>
              <w:t>PD-L1</w:t>
            </w:r>
          </w:p>
        </w:tc>
        <w:tc>
          <w:tcPr>
            <w:tcW w:w="2723" w:type="dxa"/>
            <w:vAlign w:val="center"/>
          </w:tcPr>
          <w:p w14:paraId="6220646F" w14:textId="77777777" w:rsidR="004A7D55" w:rsidRDefault="007A4A91">
            <w:pPr>
              <w:jc w:val="center"/>
              <w:rPr>
                <w:rFonts w:ascii="Arial" w:eastAsia="Arial" w:hAnsi="Arial" w:cs="Arial"/>
                <w:sz w:val="24"/>
                <w:szCs w:val="24"/>
              </w:rPr>
            </w:pPr>
            <w:r>
              <w:rPr>
                <w:rFonts w:ascii="Arial" w:eastAsia="Arial" w:hAnsi="Arial" w:cs="Arial"/>
                <w:sz w:val="24"/>
                <w:szCs w:val="24"/>
              </w:rPr>
              <w:t>Ligando inmunomodulador que inhibe la activación de linfocitos T</w:t>
            </w:r>
          </w:p>
        </w:tc>
        <w:tc>
          <w:tcPr>
            <w:tcW w:w="1766" w:type="dxa"/>
            <w:vAlign w:val="center"/>
          </w:tcPr>
          <w:p w14:paraId="62206470" w14:textId="77777777" w:rsidR="004A7D55" w:rsidRDefault="007A4A91">
            <w:pPr>
              <w:jc w:val="center"/>
              <w:rPr>
                <w:rFonts w:ascii="Arial" w:eastAsia="Arial" w:hAnsi="Arial" w:cs="Arial"/>
                <w:sz w:val="24"/>
                <w:szCs w:val="24"/>
              </w:rPr>
            </w:pPr>
            <w:r>
              <w:rPr>
                <w:rFonts w:ascii="Arial" w:eastAsia="Arial" w:hAnsi="Arial" w:cs="Arial"/>
                <w:sz w:val="24"/>
                <w:szCs w:val="24"/>
              </w:rPr>
              <w:t>Variable</w:t>
            </w:r>
          </w:p>
        </w:tc>
        <w:tc>
          <w:tcPr>
            <w:tcW w:w="3115" w:type="dxa"/>
            <w:vAlign w:val="center"/>
          </w:tcPr>
          <w:p w14:paraId="62206471" w14:textId="77777777" w:rsidR="004A7D55" w:rsidRDefault="007A4A91">
            <w:pPr>
              <w:jc w:val="center"/>
              <w:rPr>
                <w:rFonts w:ascii="Arial" w:eastAsia="Arial" w:hAnsi="Arial" w:cs="Arial"/>
                <w:sz w:val="24"/>
                <w:szCs w:val="24"/>
              </w:rPr>
            </w:pPr>
            <w:r>
              <w:rPr>
                <w:rFonts w:ascii="Arial" w:eastAsia="Arial" w:hAnsi="Arial" w:cs="Arial"/>
                <w:sz w:val="24"/>
                <w:szCs w:val="24"/>
              </w:rPr>
              <w:t>Biomarcador explorado para respuesta a inmunoterapia, aunque con utilidad clínica limitada en RCC</w:t>
            </w:r>
          </w:p>
        </w:tc>
      </w:tr>
      <w:tr w:rsidR="004A7D55" w14:paraId="62206477" w14:textId="77777777">
        <w:tc>
          <w:tcPr>
            <w:tcW w:w="1756" w:type="dxa"/>
            <w:vAlign w:val="center"/>
          </w:tcPr>
          <w:p w14:paraId="62206473" w14:textId="77777777" w:rsidR="004A7D55" w:rsidRDefault="007A4A91">
            <w:pPr>
              <w:jc w:val="center"/>
              <w:rPr>
                <w:rFonts w:ascii="Arial" w:eastAsia="Arial" w:hAnsi="Arial" w:cs="Arial"/>
                <w:b/>
                <w:bCs/>
                <w:sz w:val="24"/>
                <w:szCs w:val="24"/>
              </w:rPr>
            </w:pPr>
            <w:r>
              <w:rPr>
                <w:rFonts w:ascii="Arial" w:eastAsia="Arial" w:hAnsi="Arial" w:cs="Arial"/>
                <w:b/>
                <w:bCs/>
                <w:sz w:val="24"/>
                <w:szCs w:val="24"/>
              </w:rPr>
              <w:t>Firma angiogénica</w:t>
            </w:r>
          </w:p>
        </w:tc>
        <w:tc>
          <w:tcPr>
            <w:tcW w:w="2723" w:type="dxa"/>
            <w:vAlign w:val="center"/>
          </w:tcPr>
          <w:p w14:paraId="62206474" w14:textId="77777777" w:rsidR="004A7D55" w:rsidRDefault="007A4A91">
            <w:pPr>
              <w:jc w:val="center"/>
              <w:rPr>
                <w:rFonts w:ascii="Arial" w:eastAsia="Arial" w:hAnsi="Arial" w:cs="Arial"/>
                <w:sz w:val="24"/>
                <w:szCs w:val="24"/>
              </w:rPr>
            </w:pPr>
            <w:r>
              <w:rPr>
                <w:rFonts w:ascii="Arial" w:eastAsia="Arial" w:hAnsi="Arial" w:cs="Arial"/>
                <w:sz w:val="24"/>
                <w:szCs w:val="24"/>
              </w:rPr>
              <w:t>Activación de vías VEGF/HIF</w:t>
            </w:r>
          </w:p>
        </w:tc>
        <w:tc>
          <w:tcPr>
            <w:tcW w:w="1766" w:type="dxa"/>
            <w:vAlign w:val="center"/>
          </w:tcPr>
          <w:p w14:paraId="62206475" w14:textId="77777777" w:rsidR="004A7D55" w:rsidRDefault="007A4A91">
            <w:pPr>
              <w:jc w:val="center"/>
              <w:rPr>
                <w:rFonts w:ascii="Arial" w:eastAsia="Arial" w:hAnsi="Arial" w:cs="Arial"/>
                <w:sz w:val="24"/>
                <w:szCs w:val="24"/>
              </w:rPr>
            </w:pPr>
            <w:r>
              <w:rPr>
                <w:rFonts w:ascii="Arial" w:eastAsia="Arial" w:hAnsi="Arial" w:cs="Arial"/>
                <w:sz w:val="24"/>
                <w:szCs w:val="24"/>
              </w:rPr>
              <w:t>Variable</w:t>
            </w:r>
          </w:p>
        </w:tc>
        <w:tc>
          <w:tcPr>
            <w:tcW w:w="3115" w:type="dxa"/>
            <w:vAlign w:val="center"/>
          </w:tcPr>
          <w:p w14:paraId="62206476" w14:textId="77777777" w:rsidR="004A7D55" w:rsidRDefault="007A4A91">
            <w:pPr>
              <w:jc w:val="center"/>
              <w:rPr>
                <w:rFonts w:ascii="Arial" w:eastAsia="Arial" w:hAnsi="Arial" w:cs="Arial"/>
                <w:sz w:val="24"/>
                <w:szCs w:val="24"/>
              </w:rPr>
            </w:pPr>
            <w:r>
              <w:rPr>
                <w:rFonts w:ascii="Arial" w:eastAsia="Arial" w:hAnsi="Arial" w:cs="Arial"/>
                <w:sz w:val="24"/>
                <w:szCs w:val="24"/>
              </w:rPr>
              <w:t>Asociada con mayor sensibilidad a terapias anti angiogénicas</w:t>
            </w:r>
          </w:p>
        </w:tc>
      </w:tr>
      <w:tr w:rsidR="004A7D55" w14:paraId="6220647C" w14:textId="77777777">
        <w:tc>
          <w:tcPr>
            <w:tcW w:w="1756" w:type="dxa"/>
            <w:vAlign w:val="center"/>
          </w:tcPr>
          <w:p w14:paraId="62206478" w14:textId="77777777" w:rsidR="004A7D55" w:rsidRDefault="007A4A91">
            <w:pPr>
              <w:jc w:val="center"/>
              <w:rPr>
                <w:rFonts w:ascii="Arial" w:eastAsia="Arial" w:hAnsi="Arial" w:cs="Arial"/>
                <w:b/>
                <w:bCs/>
                <w:sz w:val="24"/>
                <w:szCs w:val="24"/>
              </w:rPr>
            </w:pPr>
            <w:r>
              <w:rPr>
                <w:rFonts w:ascii="Arial" w:eastAsia="Arial" w:hAnsi="Arial" w:cs="Arial"/>
                <w:b/>
                <w:bCs/>
                <w:sz w:val="24"/>
                <w:szCs w:val="24"/>
              </w:rPr>
              <w:t>Firmas inmunes tumorales</w:t>
            </w:r>
          </w:p>
        </w:tc>
        <w:tc>
          <w:tcPr>
            <w:tcW w:w="2723" w:type="dxa"/>
            <w:vAlign w:val="center"/>
          </w:tcPr>
          <w:p w14:paraId="62206479" w14:textId="77777777" w:rsidR="004A7D55" w:rsidRDefault="007A4A91">
            <w:pPr>
              <w:jc w:val="center"/>
              <w:rPr>
                <w:rFonts w:ascii="Arial" w:eastAsia="Arial" w:hAnsi="Arial" w:cs="Arial"/>
                <w:sz w:val="24"/>
                <w:szCs w:val="24"/>
              </w:rPr>
            </w:pPr>
            <w:r>
              <w:rPr>
                <w:rFonts w:ascii="Arial" w:eastAsia="Arial" w:hAnsi="Arial" w:cs="Arial"/>
                <w:sz w:val="24"/>
                <w:szCs w:val="24"/>
              </w:rPr>
              <w:t>Infiltración de células inmunes y activación inflamatoria</w:t>
            </w:r>
          </w:p>
        </w:tc>
        <w:tc>
          <w:tcPr>
            <w:tcW w:w="1766" w:type="dxa"/>
            <w:vAlign w:val="center"/>
          </w:tcPr>
          <w:p w14:paraId="6220647A" w14:textId="77777777" w:rsidR="004A7D55" w:rsidRDefault="007A4A91">
            <w:pPr>
              <w:jc w:val="center"/>
              <w:rPr>
                <w:rFonts w:ascii="Arial" w:eastAsia="Arial" w:hAnsi="Arial" w:cs="Arial"/>
                <w:sz w:val="24"/>
                <w:szCs w:val="24"/>
              </w:rPr>
            </w:pPr>
            <w:r>
              <w:rPr>
                <w:rFonts w:ascii="Arial" w:eastAsia="Arial" w:hAnsi="Arial" w:cs="Arial"/>
                <w:sz w:val="24"/>
                <w:szCs w:val="24"/>
              </w:rPr>
              <w:t>Variable</w:t>
            </w:r>
          </w:p>
        </w:tc>
        <w:tc>
          <w:tcPr>
            <w:tcW w:w="3115" w:type="dxa"/>
            <w:vAlign w:val="center"/>
          </w:tcPr>
          <w:p w14:paraId="6220647B" w14:textId="77777777" w:rsidR="004A7D55" w:rsidRDefault="007A4A91">
            <w:pPr>
              <w:jc w:val="center"/>
              <w:rPr>
                <w:rFonts w:ascii="Arial" w:eastAsia="Arial" w:hAnsi="Arial" w:cs="Arial"/>
                <w:sz w:val="24"/>
                <w:szCs w:val="24"/>
              </w:rPr>
            </w:pPr>
            <w:r>
              <w:rPr>
                <w:rFonts w:ascii="Arial" w:eastAsia="Arial" w:hAnsi="Arial" w:cs="Arial"/>
                <w:sz w:val="24"/>
                <w:szCs w:val="24"/>
              </w:rPr>
              <w:t>Podrían influir en respuesta a ICI</w:t>
            </w:r>
          </w:p>
        </w:tc>
      </w:tr>
    </w:tbl>
    <w:p w14:paraId="6220647D" w14:textId="77777777" w:rsidR="004A7D55" w:rsidRDefault="007A4A91">
      <w:pPr>
        <w:rPr>
          <w:rFonts w:ascii="Arial" w:eastAsia="Arial" w:hAnsi="Arial" w:cs="Arial"/>
          <w:b/>
          <w:bCs/>
          <w:sz w:val="24"/>
          <w:szCs w:val="24"/>
        </w:rPr>
      </w:pPr>
      <w:r>
        <w:rPr>
          <w:rFonts w:ascii="Arial" w:eastAsia="Arial" w:hAnsi="Arial" w:cs="Arial"/>
          <w:b/>
          <w:bCs/>
          <w:sz w:val="24"/>
          <w:szCs w:val="24"/>
        </w:rPr>
        <w:t xml:space="preserve">Referencias:  </w:t>
      </w:r>
      <w:proofErr w:type="spellStart"/>
      <w:r>
        <w:rPr>
          <w:rFonts w:ascii="Arial" w:eastAsia="Arial" w:hAnsi="Arial" w:cs="Arial"/>
          <w:sz w:val="24"/>
          <w:szCs w:val="24"/>
        </w:rPr>
        <w:t>ccRCC</w:t>
      </w:r>
      <w:proofErr w:type="spellEnd"/>
      <w:r>
        <w:rPr>
          <w:rFonts w:ascii="Arial" w:eastAsia="Arial" w:hAnsi="Arial" w:cs="Arial"/>
          <w:sz w:val="24"/>
          <w:szCs w:val="24"/>
        </w:rPr>
        <w:t>: carcinoma renal de células claras; HIF: factor inducible por hipoxia; ICI: inhibidores del punto de control inmunológico; PD-L1: ligando 1 de muerte programada; SWI/SNF: complejo de remodelación de cromatina SWI/SNF (Switch/</w:t>
      </w:r>
      <w:proofErr w:type="spellStart"/>
      <w:r>
        <w:rPr>
          <w:rFonts w:ascii="Arial" w:eastAsia="Arial" w:hAnsi="Arial" w:cs="Arial"/>
          <w:sz w:val="24"/>
          <w:szCs w:val="24"/>
        </w:rPr>
        <w:t>Sucrose</w:t>
      </w:r>
      <w:proofErr w:type="spellEnd"/>
      <w:r>
        <w:rPr>
          <w:rFonts w:ascii="Arial" w:eastAsia="Arial" w:hAnsi="Arial" w:cs="Arial"/>
          <w:sz w:val="24"/>
          <w:szCs w:val="24"/>
        </w:rPr>
        <w:t xml:space="preserve"> Non-Fermentable); VEGF: factor de crecimiento endotelial vascular; VHL: gen de </w:t>
      </w:r>
      <w:proofErr w:type="spellStart"/>
      <w:r>
        <w:rPr>
          <w:rFonts w:ascii="Arial" w:eastAsia="Arial" w:hAnsi="Arial" w:cs="Arial"/>
          <w:sz w:val="24"/>
          <w:szCs w:val="24"/>
        </w:rPr>
        <w:t>Von</w:t>
      </w:r>
      <w:proofErr w:type="spellEnd"/>
      <w:r>
        <w:rPr>
          <w:rFonts w:ascii="Arial" w:eastAsia="Arial" w:hAnsi="Arial" w:cs="Arial"/>
          <w:sz w:val="24"/>
          <w:szCs w:val="24"/>
        </w:rPr>
        <w:t xml:space="preserve"> Hippel–Lindau.</w:t>
      </w:r>
    </w:p>
    <w:p w14:paraId="6220647E" w14:textId="77777777" w:rsidR="004A7D55" w:rsidRDefault="007A4A91">
      <w:pPr>
        <w:rPr>
          <w:rFonts w:ascii="Arial" w:eastAsia="Arial" w:hAnsi="Arial" w:cs="Arial"/>
          <w:sz w:val="24"/>
          <w:szCs w:val="24"/>
        </w:rPr>
      </w:pPr>
      <w:r>
        <w:rPr>
          <w:rFonts w:ascii="Arial" w:eastAsia="Arial" w:hAnsi="Arial" w:cs="Arial"/>
          <w:sz w:val="24"/>
          <w:szCs w:val="24"/>
        </w:rPr>
        <w:t xml:space="preserve">(Los avances en secuenciación genómica han permitido caracterizar el panorama molecular del carcinoma renal de células claras, identificando alteraciones recurrentes en genes relacionados con la respuesta a hipoxia, la remodelación de la cromatina y la </w:t>
      </w:r>
      <w:r>
        <w:rPr>
          <w:rFonts w:ascii="Arial" w:eastAsia="Arial" w:hAnsi="Arial" w:cs="Arial"/>
          <w:sz w:val="24"/>
          <w:szCs w:val="24"/>
        </w:rPr>
        <w:lastRenderedPageBreak/>
        <w:t xml:space="preserve">regulación epigenética. La pérdida del gen VHL constituye el evento molecular central en la mayoría de los tumores, conduciendo a la estabilización de factores inducibles por hipoxia y a la activación de vías pro angiogénicas. Asimismo, mutaciones en genes de remodelación </w:t>
      </w:r>
      <w:proofErr w:type="spellStart"/>
      <w:r>
        <w:rPr>
          <w:rFonts w:ascii="Arial" w:eastAsia="Arial" w:hAnsi="Arial" w:cs="Arial"/>
          <w:sz w:val="24"/>
          <w:szCs w:val="24"/>
        </w:rPr>
        <w:t>cromatínica</w:t>
      </w:r>
      <w:proofErr w:type="spellEnd"/>
      <w:r>
        <w:rPr>
          <w:rFonts w:ascii="Arial" w:eastAsia="Arial" w:hAnsi="Arial" w:cs="Arial"/>
          <w:sz w:val="24"/>
          <w:szCs w:val="24"/>
        </w:rPr>
        <w:t xml:space="preserve"> como PBRM1, BAP1 y SETD2 contribuyen a la heterogeneidad biológica del tumor y pueden influir en su comportamiento clínico. Aunque diversos biomarcadores han sido evaluados para predecir la respuesta a inmunoterapia o terapias dirigidas, ninguno ha demostrado aún suficiente robustez para su implementación rutinaria en la práctica clínica).</w:t>
      </w:r>
    </w:p>
    <w:p w14:paraId="6220647F" w14:textId="77777777" w:rsidR="004A7D55" w:rsidRDefault="004A7D55">
      <w:pPr>
        <w:rPr>
          <w:rFonts w:ascii="Arial" w:eastAsia="Arial" w:hAnsi="Arial" w:cs="Arial"/>
          <w:b/>
          <w:bCs/>
          <w:sz w:val="24"/>
          <w:szCs w:val="24"/>
        </w:rPr>
      </w:pPr>
    </w:p>
    <w:p w14:paraId="62206480" w14:textId="77777777" w:rsidR="004A7D55" w:rsidRDefault="004A7D55">
      <w:pPr>
        <w:rPr>
          <w:rFonts w:ascii="Arial" w:eastAsia="Arial" w:hAnsi="Arial" w:cs="Arial"/>
          <w:b/>
          <w:bCs/>
          <w:sz w:val="24"/>
          <w:szCs w:val="24"/>
        </w:rPr>
      </w:pPr>
    </w:p>
    <w:p w14:paraId="62206481" w14:textId="77777777" w:rsidR="004A7D55" w:rsidRDefault="004A7D55">
      <w:pPr>
        <w:rPr>
          <w:rFonts w:ascii="Arial" w:eastAsia="Arial" w:hAnsi="Arial" w:cs="Arial"/>
          <w:b/>
          <w:bCs/>
          <w:sz w:val="24"/>
          <w:szCs w:val="24"/>
        </w:rPr>
      </w:pPr>
    </w:p>
    <w:p w14:paraId="62206482" w14:textId="77777777" w:rsidR="004A7D55" w:rsidRDefault="004A7D55">
      <w:pPr>
        <w:rPr>
          <w:rFonts w:ascii="Arial" w:eastAsia="Arial" w:hAnsi="Arial" w:cs="Arial"/>
          <w:b/>
          <w:bCs/>
          <w:sz w:val="24"/>
          <w:szCs w:val="24"/>
        </w:rPr>
      </w:pPr>
    </w:p>
    <w:p w14:paraId="62206483" w14:textId="77777777" w:rsidR="004A7D55" w:rsidRDefault="004A7D55">
      <w:pPr>
        <w:rPr>
          <w:rFonts w:ascii="Arial" w:eastAsia="Arial" w:hAnsi="Arial" w:cs="Arial"/>
          <w:b/>
          <w:bCs/>
          <w:sz w:val="24"/>
          <w:szCs w:val="24"/>
        </w:rPr>
      </w:pPr>
    </w:p>
    <w:p w14:paraId="62206484" w14:textId="77777777" w:rsidR="004A7D55" w:rsidRDefault="004A7D55">
      <w:pPr>
        <w:rPr>
          <w:rFonts w:ascii="Arial" w:eastAsia="Arial" w:hAnsi="Arial" w:cs="Arial"/>
          <w:b/>
          <w:bCs/>
          <w:sz w:val="24"/>
          <w:szCs w:val="24"/>
        </w:rPr>
      </w:pPr>
    </w:p>
    <w:p w14:paraId="62206485" w14:textId="77777777" w:rsidR="004A7D55" w:rsidRDefault="004A7D55">
      <w:pPr>
        <w:rPr>
          <w:rFonts w:ascii="Arial" w:eastAsia="Arial" w:hAnsi="Arial" w:cs="Arial"/>
          <w:b/>
          <w:bCs/>
          <w:sz w:val="24"/>
          <w:szCs w:val="24"/>
        </w:rPr>
      </w:pPr>
    </w:p>
    <w:p w14:paraId="62206486" w14:textId="77777777" w:rsidR="004A7D55" w:rsidRDefault="004A7D55">
      <w:pPr>
        <w:rPr>
          <w:rFonts w:ascii="Arial" w:eastAsia="Arial" w:hAnsi="Arial" w:cs="Arial"/>
          <w:b/>
          <w:bCs/>
          <w:sz w:val="24"/>
          <w:szCs w:val="24"/>
        </w:rPr>
      </w:pPr>
    </w:p>
    <w:p w14:paraId="62206487" w14:textId="77777777" w:rsidR="004A7D55" w:rsidRDefault="004A7D55">
      <w:pPr>
        <w:rPr>
          <w:rFonts w:ascii="Arial" w:eastAsia="Arial" w:hAnsi="Arial" w:cs="Arial"/>
          <w:b/>
          <w:bCs/>
          <w:sz w:val="24"/>
          <w:szCs w:val="24"/>
        </w:rPr>
      </w:pPr>
    </w:p>
    <w:p w14:paraId="62206488" w14:textId="77777777" w:rsidR="004A7D55" w:rsidRDefault="004A7D55">
      <w:pPr>
        <w:rPr>
          <w:rFonts w:ascii="Arial" w:eastAsia="Arial" w:hAnsi="Arial" w:cs="Arial"/>
          <w:b/>
          <w:bCs/>
          <w:sz w:val="24"/>
          <w:szCs w:val="24"/>
        </w:rPr>
      </w:pPr>
    </w:p>
    <w:p w14:paraId="62206489" w14:textId="77777777" w:rsidR="004A7D55" w:rsidRDefault="004A7D55">
      <w:pPr>
        <w:rPr>
          <w:rFonts w:ascii="Arial" w:eastAsia="Arial" w:hAnsi="Arial" w:cs="Arial"/>
          <w:b/>
          <w:bCs/>
          <w:sz w:val="24"/>
          <w:szCs w:val="24"/>
        </w:rPr>
      </w:pPr>
    </w:p>
    <w:p w14:paraId="6220648A" w14:textId="77777777" w:rsidR="004A7D55" w:rsidRDefault="004A7D55">
      <w:pPr>
        <w:rPr>
          <w:rFonts w:ascii="Arial" w:eastAsia="Arial" w:hAnsi="Arial" w:cs="Arial"/>
          <w:b/>
          <w:bCs/>
          <w:sz w:val="24"/>
          <w:szCs w:val="24"/>
        </w:rPr>
      </w:pPr>
    </w:p>
    <w:p w14:paraId="6220648B" w14:textId="77777777" w:rsidR="004A7D55" w:rsidRDefault="004A7D55">
      <w:pPr>
        <w:rPr>
          <w:rFonts w:ascii="Arial" w:eastAsia="Arial" w:hAnsi="Arial" w:cs="Arial"/>
          <w:b/>
          <w:bCs/>
          <w:sz w:val="24"/>
          <w:szCs w:val="24"/>
        </w:rPr>
      </w:pPr>
    </w:p>
    <w:p w14:paraId="6220648C" w14:textId="77777777" w:rsidR="004A7D55" w:rsidRDefault="004A7D55">
      <w:pPr>
        <w:rPr>
          <w:rFonts w:ascii="Arial" w:eastAsia="Arial" w:hAnsi="Arial" w:cs="Arial"/>
          <w:b/>
          <w:bCs/>
          <w:sz w:val="24"/>
          <w:szCs w:val="24"/>
        </w:rPr>
      </w:pPr>
    </w:p>
    <w:p w14:paraId="6220648D" w14:textId="77777777" w:rsidR="004A7D55" w:rsidRDefault="004A7D55">
      <w:pPr>
        <w:rPr>
          <w:rFonts w:ascii="Arial" w:eastAsia="Arial" w:hAnsi="Arial" w:cs="Arial"/>
          <w:b/>
          <w:bCs/>
          <w:sz w:val="24"/>
          <w:szCs w:val="24"/>
        </w:rPr>
      </w:pPr>
    </w:p>
    <w:p w14:paraId="6220648E" w14:textId="77777777" w:rsidR="004A7D55" w:rsidRDefault="004A7D55">
      <w:pPr>
        <w:rPr>
          <w:rFonts w:ascii="Arial" w:eastAsia="Arial" w:hAnsi="Arial" w:cs="Arial"/>
          <w:b/>
          <w:bCs/>
          <w:sz w:val="24"/>
          <w:szCs w:val="24"/>
        </w:rPr>
      </w:pPr>
    </w:p>
    <w:p w14:paraId="6220648F" w14:textId="77777777" w:rsidR="004A7D55" w:rsidRDefault="004A7D55">
      <w:pPr>
        <w:rPr>
          <w:rFonts w:ascii="Arial" w:eastAsia="Arial" w:hAnsi="Arial" w:cs="Arial"/>
          <w:b/>
          <w:bCs/>
          <w:sz w:val="24"/>
          <w:szCs w:val="24"/>
        </w:rPr>
      </w:pPr>
    </w:p>
    <w:p w14:paraId="62206490" w14:textId="77777777" w:rsidR="004A7D55" w:rsidRDefault="004A7D55">
      <w:pPr>
        <w:rPr>
          <w:rFonts w:ascii="Arial" w:eastAsia="Arial" w:hAnsi="Arial" w:cs="Arial"/>
          <w:b/>
          <w:bCs/>
          <w:sz w:val="24"/>
          <w:szCs w:val="24"/>
        </w:rPr>
      </w:pPr>
    </w:p>
    <w:p w14:paraId="62206491" w14:textId="77777777" w:rsidR="004A7D55" w:rsidRDefault="004A7D55">
      <w:pPr>
        <w:rPr>
          <w:rFonts w:ascii="Arial" w:eastAsia="Arial" w:hAnsi="Arial" w:cs="Arial"/>
          <w:b/>
          <w:bCs/>
          <w:sz w:val="24"/>
          <w:szCs w:val="24"/>
        </w:rPr>
      </w:pPr>
    </w:p>
    <w:p w14:paraId="62206492" w14:textId="77777777" w:rsidR="004A7D55" w:rsidRDefault="004A7D55">
      <w:pPr>
        <w:rPr>
          <w:rFonts w:ascii="Arial" w:eastAsia="Arial" w:hAnsi="Arial" w:cs="Arial"/>
          <w:b/>
          <w:bCs/>
          <w:sz w:val="24"/>
          <w:szCs w:val="24"/>
        </w:rPr>
      </w:pPr>
    </w:p>
    <w:p w14:paraId="62206493" w14:textId="77777777" w:rsidR="004A7D55" w:rsidRDefault="004A7D55">
      <w:pPr>
        <w:rPr>
          <w:rFonts w:ascii="Arial" w:eastAsia="Arial" w:hAnsi="Arial" w:cs="Arial"/>
          <w:b/>
          <w:bCs/>
          <w:sz w:val="24"/>
          <w:szCs w:val="24"/>
        </w:rPr>
      </w:pPr>
    </w:p>
    <w:p w14:paraId="62206494" w14:textId="77777777" w:rsidR="004A7D55" w:rsidRDefault="004A7D55">
      <w:pPr>
        <w:rPr>
          <w:rFonts w:ascii="Arial" w:eastAsia="Arial" w:hAnsi="Arial" w:cs="Arial"/>
          <w:b/>
          <w:bCs/>
          <w:sz w:val="24"/>
          <w:szCs w:val="24"/>
        </w:rPr>
      </w:pPr>
    </w:p>
    <w:p w14:paraId="4369867D" w14:textId="77777777" w:rsidR="00F701E4" w:rsidRDefault="00F701E4">
      <w:pPr>
        <w:rPr>
          <w:rFonts w:ascii="Arial" w:eastAsia="Arial" w:hAnsi="Arial" w:cs="Arial"/>
          <w:b/>
          <w:bCs/>
          <w:sz w:val="24"/>
          <w:szCs w:val="24"/>
        </w:rPr>
      </w:pPr>
    </w:p>
    <w:p w14:paraId="62206495" w14:textId="77777777" w:rsidR="004A7D55" w:rsidRDefault="007A4A91">
      <w:pPr>
        <w:rPr>
          <w:rFonts w:ascii="Arial" w:eastAsia="Arial" w:hAnsi="Arial" w:cs="Arial"/>
          <w:b/>
          <w:bCs/>
          <w:sz w:val="24"/>
          <w:szCs w:val="24"/>
        </w:rPr>
      </w:pPr>
      <w:r>
        <w:rPr>
          <w:rFonts w:ascii="Arial" w:eastAsia="Arial" w:hAnsi="Arial" w:cs="Arial"/>
          <w:b/>
          <w:bCs/>
          <w:sz w:val="24"/>
          <w:szCs w:val="24"/>
        </w:rPr>
        <w:lastRenderedPageBreak/>
        <w:t>Conclusión</w:t>
      </w:r>
    </w:p>
    <w:p w14:paraId="62206496" w14:textId="08E9A5C3" w:rsidR="004A7D55" w:rsidRDefault="007A4A91">
      <w:pPr>
        <w:rPr>
          <w:rFonts w:ascii="Arial" w:eastAsia="Arial" w:hAnsi="Arial" w:cs="Arial"/>
          <w:sz w:val="24"/>
          <w:szCs w:val="24"/>
        </w:rPr>
      </w:pPr>
      <w:r>
        <w:rPr>
          <w:rFonts w:ascii="Arial" w:eastAsia="Arial" w:hAnsi="Arial" w:cs="Arial"/>
          <w:sz w:val="24"/>
          <w:szCs w:val="24"/>
        </w:rPr>
        <w:t>El manejo del CCR ha experimentado una evolución significativa en las últimas dos décadas, impulsada por una mejor comprensión de su biología molecular y por el desarrollo de nuevas estrategias terapéuticas. La identificación de alteraciones genéticas clave, particularmente en el gen VHL y en genes implicados en la remodelación de la cromatina como PBRM1, BAP1 y SETD2, ha permitido comprender los mecanismos que subyacen a la angiogénesis tumoral y a la heterogeneidad biológica del carcinoma renal. En parale</w:t>
      </w:r>
      <w:r>
        <w:rPr>
          <w:rFonts w:ascii="Arial" w:eastAsia="Arial" w:hAnsi="Arial" w:cs="Arial"/>
          <w:sz w:val="24"/>
          <w:szCs w:val="24"/>
        </w:rPr>
        <w:t xml:space="preserve">lo, la introducción de </w:t>
      </w:r>
      <w:r w:rsidR="00F701E4">
        <w:rPr>
          <w:rFonts w:ascii="Arial" w:eastAsia="Arial" w:hAnsi="Arial" w:cs="Arial"/>
          <w:sz w:val="24"/>
          <w:szCs w:val="24"/>
        </w:rPr>
        <w:t>ICI</w:t>
      </w:r>
      <w:r>
        <w:rPr>
          <w:rFonts w:ascii="Arial" w:eastAsia="Arial" w:hAnsi="Arial" w:cs="Arial"/>
          <w:sz w:val="24"/>
          <w:szCs w:val="24"/>
        </w:rPr>
        <w:t xml:space="preserve"> y su combinación con terapias dirigidas contra la vía VEGF han transformado el tratamiento del </w:t>
      </w:r>
      <w:r w:rsidR="00AC4757">
        <w:rPr>
          <w:rFonts w:ascii="Arial" w:eastAsia="Arial" w:hAnsi="Arial" w:cs="Arial"/>
          <w:sz w:val="24"/>
          <w:szCs w:val="24"/>
        </w:rPr>
        <w:t>CCR</w:t>
      </w:r>
      <w:r>
        <w:rPr>
          <w:rFonts w:ascii="Arial" w:eastAsia="Arial" w:hAnsi="Arial" w:cs="Arial"/>
          <w:sz w:val="24"/>
          <w:szCs w:val="24"/>
        </w:rPr>
        <w:t xml:space="preserve"> metastásico, mejorando significativamente los resultados clínicos en comparación con las terapias previas. Actualmente, la elección terapéutica se basa en una evaluación integral que considera el perfil pronóstico, las características clínicas del paciente y las opciones terapéuticas disponibles. A medida que se desarrollan nuevas estrategias terapéuticas y se identifican biomarcadores más precisos, es probable que el tratamiento del </w:t>
      </w:r>
      <w:r w:rsidR="00AC4757">
        <w:rPr>
          <w:rFonts w:ascii="Arial" w:eastAsia="Arial" w:hAnsi="Arial" w:cs="Arial"/>
          <w:sz w:val="24"/>
          <w:szCs w:val="24"/>
        </w:rPr>
        <w:t>CCR</w:t>
      </w:r>
      <w:r>
        <w:rPr>
          <w:rFonts w:ascii="Arial" w:eastAsia="Arial" w:hAnsi="Arial" w:cs="Arial"/>
          <w:sz w:val="24"/>
          <w:szCs w:val="24"/>
        </w:rPr>
        <w:t xml:space="preserve"> evolucione hacia un enfoque cada vez más personalizado, orientado a optimizar la eficacia terapéutica y mejorar la supervivencia de los pacientes.</w:t>
      </w:r>
    </w:p>
    <w:p w14:paraId="3D0DEDE6" w14:textId="77777777" w:rsidR="00CD2FBC" w:rsidRDefault="007A4A91">
      <w:pPr>
        <w:rPr>
          <w:rFonts w:ascii="Arial" w:eastAsia="Arial" w:hAnsi="Arial" w:cs="Arial"/>
          <w:sz w:val="24"/>
          <w:szCs w:val="24"/>
        </w:rPr>
      </w:pPr>
      <w:r>
        <w:rPr>
          <w:rFonts w:ascii="Arial" w:eastAsia="Arial" w:hAnsi="Arial" w:cs="Arial"/>
          <w:sz w:val="24"/>
          <w:szCs w:val="24"/>
        </w:rPr>
        <w:t xml:space="preserve">En este contexto, la integración de datos clínicos y moleculares será fundamental para avanzar hacia estrategias terapéuticas cada vez más personalizadas en el </w:t>
      </w:r>
      <w:r w:rsidR="00AC4757">
        <w:rPr>
          <w:rFonts w:ascii="Arial" w:eastAsia="Arial" w:hAnsi="Arial" w:cs="Arial"/>
          <w:sz w:val="24"/>
          <w:szCs w:val="24"/>
        </w:rPr>
        <w:t>CCR</w:t>
      </w:r>
      <w:r>
        <w:rPr>
          <w:rFonts w:ascii="Arial" w:eastAsia="Arial" w:hAnsi="Arial" w:cs="Arial"/>
          <w:sz w:val="24"/>
          <w:szCs w:val="24"/>
        </w:rPr>
        <w:t>.</w:t>
      </w:r>
    </w:p>
    <w:p w14:paraId="622064A6" w14:textId="6AF7BCAB" w:rsidR="004A7D55" w:rsidRPr="00CD2FBC" w:rsidRDefault="007A4A91">
      <w:pPr>
        <w:rPr>
          <w:rFonts w:ascii="Arial" w:eastAsia="Arial" w:hAnsi="Arial" w:cs="Arial"/>
          <w:sz w:val="24"/>
          <w:szCs w:val="24"/>
        </w:rPr>
      </w:pPr>
      <w:r>
        <w:rPr>
          <w:rFonts w:ascii="Arial" w:eastAsia="Arial" w:hAnsi="Arial" w:cs="Arial"/>
          <w:b/>
          <w:bCs/>
          <w:sz w:val="24"/>
          <w:szCs w:val="24"/>
        </w:rPr>
        <w:t>Declaración de conflictos de interés</w:t>
      </w:r>
    </w:p>
    <w:p w14:paraId="622064A7" w14:textId="77777777" w:rsidR="004A7D55" w:rsidRDefault="007A4A91">
      <w:pPr>
        <w:rPr>
          <w:rFonts w:ascii="Arial" w:eastAsia="Arial" w:hAnsi="Arial" w:cs="Arial"/>
          <w:sz w:val="24"/>
          <w:szCs w:val="24"/>
        </w:rPr>
      </w:pPr>
      <w:r>
        <w:rPr>
          <w:rFonts w:ascii="Arial" w:eastAsia="Arial" w:hAnsi="Arial" w:cs="Arial"/>
          <w:sz w:val="24"/>
          <w:szCs w:val="24"/>
        </w:rPr>
        <w:t>Los autores declaran no presentar conflictos de interés relacionados con el contenido de este artículo. El presente trabajo no recibió financiación específica de agencias del sector público, comercial o sin fines de lucro. Todos los autores participaron en la elaboración del manuscrito, revisaron críticamente su contenido intelectual y aprobaron la versión final para su publicación.</w:t>
      </w:r>
    </w:p>
    <w:p w14:paraId="622064A8" w14:textId="77777777" w:rsidR="004A7D55" w:rsidRDefault="004A7D55">
      <w:pPr>
        <w:rPr>
          <w:rFonts w:ascii="Arial" w:eastAsia="Arial" w:hAnsi="Arial" w:cs="Arial"/>
          <w:b/>
          <w:bCs/>
          <w:sz w:val="24"/>
          <w:szCs w:val="24"/>
        </w:rPr>
      </w:pPr>
    </w:p>
    <w:p w14:paraId="622064A9" w14:textId="77777777" w:rsidR="004A7D55" w:rsidRDefault="004A7D55">
      <w:pPr>
        <w:rPr>
          <w:rFonts w:ascii="Arial" w:eastAsia="Arial" w:hAnsi="Arial" w:cs="Arial"/>
          <w:b/>
          <w:bCs/>
          <w:sz w:val="24"/>
          <w:szCs w:val="24"/>
        </w:rPr>
      </w:pPr>
    </w:p>
    <w:p w14:paraId="622064AA" w14:textId="77777777" w:rsidR="004A7D55" w:rsidRDefault="004A7D55">
      <w:pPr>
        <w:rPr>
          <w:rFonts w:ascii="Arial" w:eastAsia="Arial" w:hAnsi="Arial" w:cs="Arial"/>
          <w:b/>
          <w:bCs/>
          <w:sz w:val="24"/>
          <w:szCs w:val="24"/>
        </w:rPr>
      </w:pPr>
    </w:p>
    <w:p w14:paraId="622064AB" w14:textId="77777777" w:rsidR="004A7D55" w:rsidRDefault="004A7D55">
      <w:pPr>
        <w:rPr>
          <w:rFonts w:ascii="Arial" w:eastAsia="Arial" w:hAnsi="Arial" w:cs="Arial"/>
          <w:b/>
          <w:bCs/>
          <w:sz w:val="24"/>
          <w:szCs w:val="24"/>
        </w:rPr>
      </w:pPr>
    </w:p>
    <w:p w14:paraId="622064AC" w14:textId="77777777" w:rsidR="004A7D55" w:rsidRDefault="004A7D55">
      <w:pPr>
        <w:rPr>
          <w:rFonts w:ascii="Arial" w:eastAsia="Arial" w:hAnsi="Arial" w:cs="Arial"/>
          <w:b/>
          <w:bCs/>
          <w:sz w:val="24"/>
          <w:szCs w:val="24"/>
        </w:rPr>
      </w:pPr>
    </w:p>
    <w:p w14:paraId="622064AD" w14:textId="77777777" w:rsidR="004A7D55" w:rsidRDefault="004A7D55">
      <w:pPr>
        <w:rPr>
          <w:rFonts w:ascii="Arial" w:eastAsia="Arial" w:hAnsi="Arial" w:cs="Arial"/>
          <w:b/>
          <w:bCs/>
          <w:sz w:val="24"/>
          <w:szCs w:val="24"/>
        </w:rPr>
      </w:pPr>
    </w:p>
    <w:p w14:paraId="622064AE" w14:textId="77777777" w:rsidR="004A7D55" w:rsidRDefault="004A7D55">
      <w:pPr>
        <w:rPr>
          <w:rFonts w:ascii="Arial" w:eastAsia="Arial" w:hAnsi="Arial" w:cs="Arial"/>
          <w:b/>
          <w:bCs/>
          <w:sz w:val="24"/>
          <w:szCs w:val="24"/>
        </w:rPr>
      </w:pPr>
    </w:p>
    <w:p w14:paraId="622064AF" w14:textId="77777777" w:rsidR="004A7D55" w:rsidRDefault="004A7D55">
      <w:pPr>
        <w:rPr>
          <w:rFonts w:ascii="Arial" w:eastAsia="Arial" w:hAnsi="Arial" w:cs="Arial"/>
          <w:b/>
          <w:bCs/>
          <w:sz w:val="24"/>
          <w:szCs w:val="24"/>
        </w:rPr>
      </w:pPr>
    </w:p>
    <w:p w14:paraId="622064B0" w14:textId="77777777" w:rsidR="004A7D55" w:rsidRDefault="004A7D55">
      <w:pPr>
        <w:rPr>
          <w:rFonts w:ascii="Arial" w:eastAsia="Arial" w:hAnsi="Arial" w:cs="Arial"/>
          <w:b/>
          <w:bCs/>
          <w:sz w:val="24"/>
          <w:szCs w:val="24"/>
        </w:rPr>
      </w:pPr>
    </w:p>
    <w:p w14:paraId="622064B1" w14:textId="77777777" w:rsidR="004A7D55" w:rsidRDefault="004A7D55">
      <w:pPr>
        <w:rPr>
          <w:rFonts w:ascii="Arial" w:eastAsia="Arial" w:hAnsi="Arial" w:cs="Arial"/>
          <w:b/>
          <w:bCs/>
          <w:sz w:val="24"/>
          <w:szCs w:val="24"/>
        </w:rPr>
      </w:pPr>
    </w:p>
    <w:p w14:paraId="73E9A38D" w14:textId="77777777" w:rsidR="00CD2FBC" w:rsidRDefault="00CD2FBC">
      <w:pPr>
        <w:rPr>
          <w:rFonts w:ascii="Arial" w:eastAsia="Arial" w:hAnsi="Arial" w:cs="Arial"/>
          <w:b/>
          <w:bCs/>
          <w:sz w:val="24"/>
          <w:szCs w:val="24"/>
        </w:rPr>
      </w:pPr>
    </w:p>
    <w:p w14:paraId="622064C0" w14:textId="2AC8C992" w:rsidR="004A7D55" w:rsidRPr="00FA2A20" w:rsidRDefault="007A4A91">
      <w:pPr>
        <w:rPr>
          <w:rFonts w:ascii="Arial" w:eastAsia="Arial" w:hAnsi="Arial" w:cs="Arial"/>
          <w:sz w:val="24"/>
          <w:szCs w:val="24"/>
          <w:lang w:val="en-US"/>
        </w:rPr>
      </w:pPr>
      <w:proofErr w:type="spellStart"/>
      <w:r w:rsidRPr="00FA2A20">
        <w:rPr>
          <w:rFonts w:ascii="Arial" w:eastAsia="Arial" w:hAnsi="Arial" w:cs="Arial"/>
          <w:b/>
          <w:bCs/>
          <w:sz w:val="24"/>
          <w:szCs w:val="24"/>
          <w:lang w:val="en-US"/>
        </w:rPr>
        <w:lastRenderedPageBreak/>
        <w:t>Referencias</w:t>
      </w:r>
      <w:proofErr w:type="spellEnd"/>
      <w:r w:rsidRPr="00FA2A20">
        <w:rPr>
          <w:rFonts w:ascii="Arial" w:eastAsia="Arial" w:hAnsi="Arial" w:cs="Arial"/>
          <w:b/>
          <w:bCs/>
          <w:sz w:val="24"/>
          <w:szCs w:val="24"/>
          <w:lang w:val="en-US"/>
        </w:rPr>
        <w:t>:</w:t>
      </w:r>
    </w:p>
    <w:p w14:paraId="622064C1" w14:textId="77777777" w:rsidR="004A7D55" w:rsidRPr="0015514C" w:rsidRDefault="007A4A91">
      <w:pPr>
        <w:rPr>
          <w:rFonts w:ascii="Arial" w:eastAsia="Arial" w:hAnsi="Arial" w:cs="Arial"/>
          <w:sz w:val="24"/>
          <w:szCs w:val="24"/>
          <w:lang w:val="en-US"/>
        </w:rPr>
      </w:pPr>
      <w:r w:rsidRPr="00FA2A20">
        <w:rPr>
          <w:rFonts w:ascii="Arial" w:eastAsia="Arial" w:hAnsi="Arial" w:cs="Arial"/>
          <w:sz w:val="24"/>
          <w:szCs w:val="24"/>
          <w:lang w:val="en-US"/>
        </w:rPr>
        <w:t xml:space="preserve">[1] Sung H, </w:t>
      </w:r>
      <w:proofErr w:type="spellStart"/>
      <w:r w:rsidRPr="00FA2A20">
        <w:rPr>
          <w:rFonts w:ascii="Arial" w:eastAsia="Arial" w:hAnsi="Arial" w:cs="Arial"/>
          <w:sz w:val="24"/>
          <w:szCs w:val="24"/>
          <w:lang w:val="en-US"/>
        </w:rPr>
        <w:t>Ferlay</w:t>
      </w:r>
      <w:proofErr w:type="spellEnd"/>
      <w:r w:rsidRPr="00FA2A20">
        <w:rPr>
          <w:rFonts w:ascii="Arial" w:eastAsia="Arial" w:hAnsi="Arial" w:cs="Arial"/>
          <w:sz w:val="24"/>
          <w:szCs w:val="24"/>
          <w:lang w:val="en-US"/>
        </w:rPr>
        <w:t xml:space="preserve"> J, Siegel RL, </w:t>
      </w:r>
      <w:proofErr w:type="spellStart"/>
      <w:r w:rsidRPr="00FA2A20">
        <w:rPr>
          <w:rFonts w:ascii="Arial" w:eastAsia="Arial" w:hAnsi="Arial" w:cs="Arial"/>
          <w:sz w:val="24"/>
          <w:szCs w:val="24"/>
          <w:lang w:val="en-US"/>
        </w:rPr>
        <w:t>Laversanne</w:t>
      </w:r>
      <w:proofErr w:type="spellEnd"/>
      <w:r w:rsidRPr="00FA2A20">
        <w:rPr>
          <w:rFonts w:ascii="Arial" w:eastAsia="Arial" w:hAnsi="Arial" w:cs="Arial"/>
          <w:sz w:val="24"/>
          <w:szCs w:val="24"/>
          <w:lang w:val="en-US"/>
        </w:rPr>
        <w:t xml:space="preserve"> M, </w:t>
      </w:r>
      <w:proofErr w:type="spellStart"/>
      <w:r w:rsidRPr="00FA2A20">
        <w:rPr>
          <w:rFonts w:ascii="Arial" w:eastAsia="Arial" w:hAnsi="Arial" w:cs="Arial"/>
          <w:sz w:val="24"/>
          <w:szCs w:val="24"/>
          <w:lang w:val="en-US"/>
        </w:rPr>
        <w:t>Soerjomataram</w:t>
      </w:r>
      <w:proofErr w:type="spellEnd"/>
      <w:r w:rsidRPr="00FA2A20">
        <w:rPr>
          <w:rFonts w:ascii="Arial" w:eastAsia="Arial" w:hAnsi="Arial" w:cs="Arial"/>
          <w:sz w:val="24"/>
          <w:szCs w:val="24"/>
          <w:lang w:val="en-US"/>
        </w:rPr>
        <w:t xml:space="preserve"> I, Jemal A, et al. Global cancer statistics 2020: GLOBOCAN estimates of incidence and mortality worldwide for 36 cancers in 185 countries. </w:t>
      </w:r>
      <w:r w:rsidRPr="0015514C">
        <w:rPr>
          <w:rFonts w:ascii="Arial" w:eastAsia="Arial" w:hAnsi="Arial" w:cs="Arial"/>
          <w:sz w:val="24"/>
          <w:szCs w:val="24"/>
          <w:lang w:val="en-US"/>
        </w:rPr>
        <w:t>CA Cancer J Clin. 2021;71(3):209-249. doi:10.3322/caac.21660. PMID:33538338</w:t>
      </w:r>
    </w:p>
    <w:p w14:paraId="622064C2" w14:textId="77777777" w:rsidR="004A7D55" w:rsidRPr="00FA2A20" w:rsidRDefault="007A4A91">
      <w:pPr>
        <w:rPr>
          <w:rFonts w:ascii="Arial" w:eastAsia="Arial" w:hAnsi="Arial" w:cs="Arial"/>
          <w:sz w:val="24"/>
          <w:szCs w:val="24"/>
          <w:lang w:val="en-US"/>
        </w:rPr>
      </w:pPr>
      <w:r w:rsidRPr="0015514C">
        <w:rPr>
          <w:rFonts w:ascii="Arial" w:eastAsia="Arial" w:hAnsi="Arial" w:cs="Arial"/>
          <w:sz w:val="24"/>
          <w:szCs w:val="24"/>
          <w:lang w:val="en-US"/>
        </w:rPr>
        <w:t xml:space="preserve">[2] Siegel RL, Miller KD, Fuchs HE, Jemal A. Cancer statistics, 2024. </w:t>
      </w:r>
      <w:r w:rsidRPr="00FA2A20">
        <w:rPr>
          <w:rFonts w:ascii="Arial" w:eastAsia="Arial" w:hAnsi="Arial" w:cs="Arial"/>
          <w:sz w:val="24"/>
          <w:szCs w:val="24"/>
          <w:lang w:val="en-US"/>
        </w:rPr>
        <w:t>CA Cancer J Clin. 2024;74(1):17-48. doi:10.3322/caac.21820. PMID:38230766</w:t>
      </w:r>
    </w:p>
    <w:p w14:paraId="622064C3" w14:textId="77777777" w:rsidR="004A7D55" w:rsidRPr="0015514C" w:rsidRDefault="007A4A91">
      <w:pPr>
        <w:rPr>
          <w:rFonts w:ascii="Arial" w:eastAsia="Arial" w:hAnsi="Arial" w:cs="Arial"/>
          <w:sz w:val="24"/>
          <w:szCs w:val="24"/>
          <w:lang w:val="en-US"/>
        </w:rPr>
      </w:pPr>
      <w:r w:rsidRPr="00D01602">
        <w:rPr>
          <w:rFonts w:ascii="Arial" w:eastAsia="Arial" w:hAnsi="Arial" w:cs="Arial"/>
          <w:sz w:val="24"/>
          <w:szCs w:val="24"/>
        </w:rPr>
        <w:t xml:space="preserve">[3] Moch H, Cubilla AL, Humphrey PA, Reuter VE, Ulbright TM. </w:t>
      </w:r>
      <w:r w:rsidRPr="00FA2A20">
        <w:rPr>
          <w:rFonts w:ascii="Arial" w:eastAsia="Arial" w:hAnsi="Arial" w:cs="Arial"/>
          <w:sz w:val="24"/>
          <w:szCs w:val="24"/>
          <w:lang w:val="en-US"/>
        </w:rPr>
        <w:t xml:space="preserve">The 2016 WHO classification of </w:t>
      </w:r>
      <w:proofErr w:type="spellStart"/>
      <w:r w:rsidRPr="00FA2A20">
        <w:rPr>
          <w:rFonts w:ascii="Arial" w:eastAsia="Arial" w:hAnsi="Arial" w:cs="Arial"/>
          <w:sz w:val="24"/>
          <w:szCs w:val="24"/>
          <w:lang w:val="en-US"/>
        </w:rPr>
        <w:t>tumours</w:t>
      </w:r>
      <w:proofErr w:type="spellEnd"/>
      <w:r w:rsidRPr="00FA2A20">
        <w:rPr>
          <w:rFonts w:ascii="Arial" w:eastAsia="Arial" w:hAnsi="Arial" w:cs="Arial"/>
          <w:sz w:val="24"/>
          <w:szCs w:val="24"/>
          <w:lang w:val="en-US"/>
        </w:rPr>
        <w:t xml:space="preserve"> of the urinary system and male genital organs—Part A: Renal, penile, and testicular </w:t>
      </w:r>
      <w:proofErr w:type="spellStart"/>
      <w:r w:rsidRPr="00FA2A20">
        <w:rPr>
          <w:rFonts w:ascii="Arial" w:eastAsia="Arial" w:hAnsi="Arial" w:cs="Arial"/>
          <w:sz w:val="24"/>
          <w:szCs w:val="24"/>
          <w:lang w:val="en-US"/>
        </w:rPr>
        <w:t>tumours</w:t>
      </w:r>
      <w:proofErr w:type="spellEnd"/>
      <w:r w:rsidRPr="00FA2A20">
        <w:rPr>
          <w:rFonts w:ascii="Arial" w:eastAsia="Arial" w:hAnsi="Arial" w:cs="Arial"/>
          <w:sz w:val="24"/>
          <w:szCs w:val="24"/>
          <w:lang w:val="en-US"/>
        </w:rPr>
        <w:t xml:space="preserve">. </w:t>
      </w:r>
      <w:proofErr w:type="spellStart"/>
      <w:r w:rsidRPr="0015514C">
        <w:rPr>
          <w:rFonts w:ascii="Arial" w:eastAsia="Arial" w:hAnsi="Arial" w:cs="Arial"/>
          <w:sz w:val="24"/>
          <w:szCs w:val="24"/>
          <w:lang w:val="en-US"/>
        </w:rPr>
        <w:t>Eur</w:t>
      </w:r>
      <w:proofErr w:type="spellEnd"/>
      <w:r w:rsidRPr="0015514C">
        <w:rPr>
          <w:rFonts w:ascii="Arial" w:eastAsia="Arial" w:hAnsi="Arial" w:cs="Arial"/>
          <w:sz w:val="24"/>
          <w:szCs w:val="24"/>
          <w:lang w:val="en-US"/>
        </w:rPr>
        <w:t xml:space="preserve"> Urol. 2016;70(1):93-105. </w:t>
      </w:r>
      <w:proofErr w:type="gramStart"/>
      <w:r w:rsidRPr="0015514C">
        <w:rPr>
          <w:rFonts w:ascii="Arial" w:eastAsia="Arial" w:hAnsi="Arial" w:cs="Arial"/>
          <w:sz w:val="24"/>
          <w:szCs w:val="24"/>
          <w:lang w:val="en-US"/>
        </w:rPr>
        <w:t>doi:10.1016/j.eururo</w:t>
      </w:r>
      <w:proofErr w:type="gramEnd"/>
      <w:r w:rsidRPr="0015514C">
        <w:rPr>
          <w:rFonts w:ascii="Arial" w:eastAsia="Arial" w:hAnsi="Arial" w:cs="Arial"/>
          <w:sz w:val="24"/>
          <w:szCs w:val="24"/>
          <w:lang w:val="en-US"/>
        </w:rPr>
        <w:t>.2016.02.029. PMID:26935559</w:t>
      </w:r>
    </w:p>
    <w:p w14:paraId="622064C4" w14:textId="77777777" w:rsidR="004A7D55" w:rsidRPr="0015514C" w:rsidRDefault="007A4A91">
      <w:pPr>
        <w:rPr>
          <w:rFonts w:ascii="Arial" w:eastAsia="Arial" w:hAnsi="Arial" w:cs="Arial"/>
          <w:sz w:val="24"/>
          <w:szCs w:val="24"/>
          <w:lang w:val="en-US"/>
        </w:rPr>
      </w:pPr>
      <w:r w:rsidRPr="0015514C">
        <w:rPr>
          <w:rFonts w:ascii="Arial" w:eastAsia="Arial" w:hAnsi="Arial" w:cs="Arial"/>
          <w:sz w:val="24"/>
          <w:szCs w:val="24"/>
          <w:lang w:val="en-US"/>
        </w:rPr>
        <w:t>[4] Linehan WM, Ricketts CJ. The metabolic basis of kidney cancer. Nat Rev Urol. 2013;10(11):721-728. doi:10.1038/nrurol.2013.227. PMID:24100444</w:t>
      </w:r>
    </w:p>
    <w:p w14:paraId="622064C5" w14:textId="77777777" w:rsidR="004A7D55" w:rsidRPr="0015514C" w:rsidRDefault="007A4A91">
      <w:pPr>
        <w:rPr>
          <w:rFonts w:ascii="Arial" w:eastAsia="Arial" w:hAnsi="Arial" w:cs="Arial"/>
          <w:sz w:val="24"/>
          <w:szCs w:val="24"/>
          <w:lang w:val="en-US"/>
        </w:rPr>
      </w:pPr>
      <w:r w:rsidRPr="0015514C">
        <w:rPr>
          <w:rFonts w:ascii="Arial" w:eastAsia="Arial" w:hAnsi="Arial" w:cs="Arial"/>
          <w:sz w:val="24"/>
          <w:szCs w:val="24"/>
          <w:lang w:val="en-US"/>
        </w:rPr>
        <w:t>[5] Cancer Genome Atlas Research Network. Comprehensive molecular characterization of clear cell renal cell carcinoma. Nature. 2013;499(7456):43-49. doi:10.1038/nature12222. PMID:23792563</w:t>
      </w:r>
    </w:p>
    <w:p w14:paraId="622064C6" w14:textId="77777777" w:rsidR="004A7D55" w:rsidRPr="0015514C" w:rsidRDefault="007A4A91">
      <w:pPr>
        <w:rPr>
          <w:rFonts w:ascii="Arial" w:eastAsia="Arial" w:hAnsi="Arial" w:cs="Arial"/>
          <w:sz w:val="24"/>
          <w:szCs w:val="24"/>
          <w:lang w:val="en-US"/>
        </w:rPr>
      </w:pPr>
      <w:r w:rsidRPr="0015514C">
        <w:rPr>
          <w:rFonts w:ascii="Arial" w:eastAsia="Arial" w:hAnsi="Arial" w:cs="Arial"/>
          <w:sz w:val="24"/>
          <w:szCs w:val="24"/>
          <w:lang w:val="en-US"/>
        </w:rPr>
        <w:t xml:space="preserve">[6] Motzer RJ, </w:t>
      </w:r>
      <w:proofErr w:type="spellStart"/>
      <w:r w:rsidRPr="0015514C">
        <w:rPr>
          <w:rFonts w:ascii="Arial" w:eastAsia="Arial" w:hAnsi="Arial" w:cs="Arial"/>
          <w:sz w:val="24"/>
          <w:szCs w:val="24"/>
          <w:lang w:val="en-US"/>
        </w:rPr>
        <w:t>Escudier</w:t>
      </w:r>
      <w:proofErr w:type="spellEnd"/>
      <w:r w:rsidRPr="0015514C">
        <w:rPr>
          <w:rFonts w:ascii="Arial" w:eastAsia="Arial" w:hAnsi="Arial" w:cs="Arial"/>
          <w:sz w:val="24"/>
          <w:szCs w:val="24"/>
          <w:lang w:val="en-US"/>
        </w:rPr>
        <w:t xml:space="preserve"> B, McDermott DF, George S, Hammers HJ, Srinivas S, et al. Nivolumab versus everolimus in advanced renal-cell </w:t>
      </w:r>
      <w:proofErr w:type="spellStart"/>
      <w:proofErr w:type="gramStart"/>
      <w:r w:rsidRPr="0015514C">
        <w:rPr>
          <w:rFonts w:ascii="Arial" w:eastAsia="Arial" w:hAnsi="Arial" w:cs="Arial"/>
          <w:sz w:val="24"/>
          <w:szCs w:val="24"/>
          <w:lang w:val="en-US"/>
        </w:rPr>
        <w:t>carcinoma.N</w:t>
      </w:r>
      <w:proofErr w:type="spellEnd"/>
      <w:proofErr w:type="gramEnd"/>
      <w:r w:rsidRPr="0015514C">
        <w:rPr>
          <w:rFonts w:ascii="Arial" w:eastAsia="Arial" w:hAnsi="Arial" w:cs="Arial"/>
          <w:sz w:val="24"/>
          <w:szCs w:val="24"/>
          <w:lang w:val="en-US"/>
        </w:rPr>
        <w:t xml:space="preserve"> Engl J Med. 2015;373(19):1803-1813. doi:10.1056/NEJMoa1510665. PMID:26406148</w:t>
      </w:r>
    </w:p>
    <w:p w14:paraId="622064C7" w14:textId="77777777" w:rsidR="004A7D55" w:rsidRDefault="007A4A91">
      <w:pPr>
        <w:rPr>
          <w:rFonts w:ascii="Arial" w:eastAsia="Arial" w:hAnsi="Arial" w:cs="Arial"/>
          <w:sz w:val="24"/>
          <w:szCs w:val="24"/>
        </w:rPr>
      </w:pPr>
      <w:r w:rsidRPr="0015514C">
        <w:rPr>
          <w:rFonts w:ascii="Arial" w:eastAsia="Arial" w:hAnsi="Arial" w:cs="Arial"/>
          <w:sz w:val="24"/>
          <w:szCs w:val="24"/>
          <w:lang w:val="en-US"/>
        </w:rPr>
        <w:t xml:space="preserve">[7] Motzer RJ, Tannir NM, McDermott DF, </w:t>
      </w:r>
      <w:proofErr w:type="spellStart"/>
      <w:r w:rsidRPr="0015514C">
        <w:rPr>
          <w:rFonts w:ascii="Arial" w:eastAsia="Arial" w:hAnsi="Arial" w:cs="Arial"/>
          <w:sz w:val="24"/>
          <w:szCs w:val="24"/>
          <w:lang w:val="en-US"/>
        </w:rPr>
        <w:t>Arén</w:t>
      </w:r>
      <w:proofErr w:type="spellEnd"/>
      <w:r w:rsidRPr="0015514C">
        <w:rPr>
          <w:rFonts w:ascii="Arial" w:eastAsia="Arial" w:hAnsi="Arial" w:cs="Arial"/>
          <w:sz w:val="24"/>
          <w:szCs w:val="24"/>
          <w:lang w:val="en-US"/>
        </w:rPr>
        <w:t xml:space="preserve"> Frontera O, Melichar B, Choueiri TK, et al. </w:t>
      </w:r>
      <w:r w:rsidRPr="00FA2A20">
        <w:rPr>
          <w:rFonts w:ascii="Arial" w:eastAsia="Arial" w:hAnsi="Arial" w:cs="Arial"/>
          <w:sz w:val="24"/>
          <w:szCs w:val="24"/>
          <w:lang w:val="en-US"/>
        </w:rPr>
        <w:t xml:space="preserve">Nivolumab plus ipilimumab versus sunitinib in advanced renal-cell carcinoma. </w:t>
      </w:r>
      <w:r>
        <w:rPr>
          <w:rFonts w:ascii="Arial" w:eastAsia="Arial" w:hAnsi="Arial" w:cs="Arial"/>
          <w:sz w:val="24"/>
          <w:szCs w:val="24"/>
        </w:rPr>
        <w:t>N Engl J Med. 2018;378(14):1277-1290. doi:10.1056/NEJMoa1712126. PMID:29562145</w:t>
      </w:r>
    </w:p>
    <w:p w14:paraId="622064C8" w14:textId="77777777" w:rsidR="004A7D55" w:rsidRPr="0015514C" w:rsidRDefault="007A4A91">
      <w:pPr>
        <w:rPr>
          <w:rFonts w:ascii="Arial" w:eastAsia="Arial" w:hAnsi="Arial" w:cs="Arial"/>
          <w:sz w:val="24"/>
          <w:szCs w:val="24"/>
          <w:lang w:val="en-US"/>
        </w:rPr>
      </w:pPr>
      <w:r w:rsidRPr="00D01602">
        <w:rPr>
          <w:rFonts w:ascii="Arial" w:eastAsia="Arial" w:hAnsi="Arial" w:cs="Arial"/>
          <w:sz w:val="24"/>
          <w:szCs w:val="24"/>
          <w:lang w:val="en-US"/>
        </w:rPr>
        <w:t xml:space="preserve">[8] Rini BI, </w:t>
      </w:r>
      <w:proofErr w:type="spellStart"/>
      <w:r w:rsidRPr="00D01602">
        <w:rPr>
          <w:rFonts w:ascii="Arial" w:eastAsia="Arial" w:hAnsi="Arial" w:cs="Arial"/>
          <w:sz w:val="24"/>
          <w:szCs w:val="24"/>
          <w:lang w:val="en-US"/>
        </w:rPr>
        <w:t>Plimack</w:t>
      </w:r>
      <w:proofErr w:type="spellEnd"/>
      <w:r w:rsidRPr="00D01602">
        <w:rPr>
          <w:rFonts w:ascii="Arial" w:eastAsia="Arial" w:hAnsi="Arial" w:cs="Arial"/>
          <w:sz w:val="24"/>
          <w:szCs w:val="24"/>
          <w:lang w:val="en-US"/>
        </w:rPr>
        <w:t xml:space="preserve"> ER, Stus V, </w:t>
      </w:r>
      <w:proofErr w:type="spellStart"/>
      <w:r w:rsidRPr="00D01602">
        <w:rPr>
          <w:rFonts w:ascii="Arial" w:eastAsia="Arial" w:hAnsi="Arial" w:cs="Arial"/>
          <w:sz w:val="24"/>
          <w:szCs w:val="24"/>
          <w:lang w:val="en-US"/>
        </w:rPr>
        <w:t>Gafanov</w:t>
      </w:r>
      <w:proofErr w:type="spellEnd"/>
      <w:r w:rsidRPr="00D01602">
        <w:rPr>
          <w:rFonts w:ascii="Arial" w:eastAsia="Arial" w:hAnsi="Arial" w:cs="Arial"/>
          <w:sz w:val="24"/>
          <w:szCs w:val="24"/>
          <w:lang w:val="en-US"/>
        </w:rPr>
        <w:t xml:space="preserve"> R, Hawkins R, Nosov D, et </w:t>
      </w:r>
      <w:proofErr w:type="spellStart"/>
      <w:proofErr w:type="gramStart"/>
      <w:r w:rsidRPr="00D01602">
        <w:rPr>
          <w:rFonts w:ascii="Arial" w:eastAsia="Arial" w:hAnsi="Arial" w:cs="Arial"/>
          <w:sz w:val="24"/>
          <w:szCs w:val="24"/>
          <w:lang w:val="en-US"/>
        </w:rPr>
        <w:t>al.Pembrolizumab</w:t>
      </w:r>
      <w:proofErr w:type="spellEnd"/>
      <w:proofErr w:type="gramEnd"/>
      <w:r w:rsidRPr="00D01602">
        <w:rPr>
          <w:rFonts w:ascii="Arial" w:eastAsia="Arial" w:hAnsi="Arial" w:cs="Arial"/>
          <w:sz w:val="24"/>
          <w:szCs w:val="24"/>
          <w:lang w:val="en-US"/>
        </w:rPr>
        <w:t xml:space="preserve"> plus axitinib versus sunitinib for advanced renal-cell carcinoma. </w:t>
      </w:r>
      <w:r w:rsidRPr="0015514C">
        <w:rPr>
          <w:rFonts w:ascii="Arial" w:eastAsia="Arial" w:hAnsi="Arial" w:cs="Arial"/>
          <w:sz w:val="24"/>
          <w:szCs w:val="24"/>
          <w:lang w:val="en-US"/>
        </w:rPr>
        <w:t>N Engl J Med. 2019;380(12):1116-1127. doi:10.1056/NEJMoa1816714. PMID:30779529</w:t>
      </w:r>
    </w:p>
    <w:p w14:paraId="622064C9" w14:textId="77777777" w:rsidR="004A7D55" w:rsidRPr="0015514C" w:rsidRDefault="007A4A91">
      <w:pPr>
        <w:rPr>
          <w:rFonts w:ascii="Arial" w:eastAsia="Arial" w:hAnsi="Arial" w:cs="Arial"/>
          <w:sz w:val="24"/>
          <w:szCs w:val="24"/>
          <w:lang w:val="en-US"/>
        </w:rPr>
      </w:pPr>
      <w:r w:rsidRPr="0015514C">
        <w:rPr>
          <w:rFonts w:ascii="Arial" w:eastAsia="Arial" w:hAnsi="Arial" w:cs="Arial"/>
          <w:sz w:val="24"/>
          <w:szCs w:val="24"/>
          <w:lang w:val="en-US"/>
        </w:rPr>
        <w:t xml:space="preserve">[9] Hsieh JJ, Purdue MP, Signoretti S, Swanton C, </w:t>
      </w:r>
      <w:proofErr w:type="spellStart"/>
      <w:r w:rsidRPr="0015514C">
        <w:rPr>
          <w:rFonts w:ascii="Arial" w:eastAsia="Arial" w:hAnsi="Arial" w:cs="Arial"/>
          <w:sz w:val="24"/>
          <w:szCs w:val="24"/>
          <w:lang w:val="en-US"/>
        </w:rPr>
        <w:t>Albiges</w:t>
      </w:r>
      <w:proofErr w:type="spellEnd"/>
      <w:r w:rsidRPr="0015514C">
        <w:rPr>
          <w:rFonts w:ascii="Arial" w:eastAsia="Arial" w:hAnsi="Arial" w:cs="Arial"/>
          <w:sz w:val="24"/>
          <w:szCs w:val="24"/>
          <w:lang w:val="en-US"/>
        </w:rPr>
        <w:t xml:space="preserve"> L, </w:t>
      </w:r>
      <w:proofErr w:type="spellStart"/>
      <w:r w:rsidRPr="0015514C">
        <w:rPr>
          <w:rFonts w:ascii="Arial" w:eastAsia="Arial" w:hAnsi="Arial" w:cs="Arial"/>
          <w:sz w:val="24"/>
          <w:szCs w:val="24"/>
          <w:lang w:val="en-US"/>
        </w:rPr>
        <w:t>Schmidinger</w:t>
      </w:r>
      <w:proofErr w:type="spellEnd"/>
      <w:r w:rsidRPr="0015514C">
        <w:rPr>
          <w:rFonts w:ascii="Arial" w:eastAsia="Arial" w:hAnsi="Arial" w:cs="Arial"/>
          <w:sz w:val="24"/>
          <w:szCs w:val="24"/>
          <w:lang w:val="en-US"/>
        </w:rPr>
        <w:t xml:space="preserve"> M, et al. </w:t>
      </w:r>
      <w:r w:rsidRPr="00D01602">
        <w:rPr>
          <w:rFonts w:ascii="Arial" w:eastAsia="Arial" w:hAnsi="Arial" w:cs="Arial"/>
          <w:sz w:val="24"/>
          <w:szCs w:val="24"/>
          <w:lang w:val="en-US"/>
        </w:rPr>
        <w:t xml:space="preserve">Renal cell carcinoma. </w:t>
      </w:r>
      <w:r w:rsidRPr="0015514C">
        <w:rPr>
          <w:rFonts w:ascii="Arial" w:eastAsia="Arial" w:hAnsi="Arial" w:cs="Arial"/>
          <w:sz w:val="24"/>
          <w:szCs w:val="24"/>
          <w:lang w:val="en-US"/>
        </w:rPr>
        <w:t xml:space="preserve">Nat Rev Dis Primers. </w:t>
      </w:r>
      <w:proofErr w:type="gramStart"/>
      <w:r w:rsidRPr="0015514C">
        <w:rPr>
          <w:rFonts w:ascii="Arial" w:eastAsia="Arial" w:hAnsi="Arial" w:cs="Arial"/>
          <w:sz w:val="24"/>
          <w:szCs w:val="24"/>
          <w:lang w:val="en-US"/>
        </w:rPr>
        <w:t>2017;3:17009</w:t>
      </w:r>
      <w:proofErr w:type="gramEnd"/>
      <w:r w:rsidRPr="0015514C">
        <w:rPr>
          <w:rFonts w:ascii="Arial" w:eastAsia="Arial" w:hAnsi="Arial" w:cs="Arial"/>
          <w:sz w:val="24"/>
          <w:szCs w:val="24"/>
          <w:lang w:val="en-US"/>
        </w:rPr>
        <w:t>. doi:10.1038/nrdp.2017.9 PMID:28276433</w:t>
      </w:r>
    </w:p>
    <w:p w14:paraId="622064CA" w14:textId="77777777" w:rsidR="004A7D55" w:rsidRPr="0015514C" w:rsidRDefault="007A4A91">
      <w:pPr>
        <w:rPr>
          <w:rFonts w:ascii="Arial" w:eastAsia="Arial" w:hAnsi="Arial" w:cs="Arial"/>
          <w:sz w:val="24"/>
          <w:szCs w:val="24"/>
          <w:lang w:val="en-US"/>
        </w:rPr>
      </w:pPr>
      <w:r w:rsidRPr="0015514C">
        <w:rPr>
          <w:rFonts w:ascii="Arial" w:eastAsia="Arial" w:hAnsi="Arial" w:cs="Arial"/>
          <w:sz w:val="24"/>
          <w:szCs w:val="24"/>
          <w:lang w:val="en-US"/>
        </w:rPr>
        <w:t>[10] Choueiri TK, Motzer RJ. Systemic therapy for metastatic renal-cell carcinoma. N Engl J Med. 2017;376(4):354-366. doi:10.1056/NEJMra1601333 PMID:28121507</w:t>
      </w:r>
    </w:p>
    <w:p w14:paraId="622064CB" w14:textId="77777777" w:rsidR="004A7D55" w:rsidRPr="0015514C" w:rsidRDefault="007A4A91">
      <w:pPr>
        <w:rPr>
          <w:rFonts w:ascii="Arial" w:eastAsia="Arial" w:hAnsi="Arial" w:cs="Arial"/>
          <w:sz w:val="24"/>
          <w:szCs w:val="24"/>
          <w:lang w:val="en-US"/>
        </w:rPr>
      </w:pPr>
      <w:r w:rsidRPr="0015514C">
        <w:rPr>
          <w:rFonts w:ascii="Arial" w:eastAsia="Arial" w:hAnsi="Arial" w:cs="Arial"/>
          <w:sz w:val="24"/>
          <w:szCs w:val="24"/>
          <w:lang w:val="en-US"/>
        </w:rPr>
        <w:t xml:space="preserve">[11] Rini BI, Campbell SC, </w:t>
      </w:r>
      <w:proofErr w:type="spellStart"/>
      <w:r w:rsidRPr="0015514C">
        <w:rPr>
          <w:rFonts w:ascii="Arial" w:eastAsia="Arial" w:hAnsi="Arial" w:cs="Arial"/>
          <w:sz w:val="24"/>
          <w:szCs w:val="24"/>
          <w:lang w:val="en-US"/>
        </w:rPr>
        <w:t>Escudier</w:t>
      </w:r>
      <w:proofErr w:type="spellEnd"/>
      <w:r w:rsidRPr="0015514C">
        <w:rPr>
          <w:rFonts w:ascii="Arial" w:eastAsia="Arial" w:hAnsi="Arial" w:cs="Arial"/>
          <w:sz w:val="24"/>
          <w:szCs w:val="24"/>
          <w:lang w:val="en-US"/>
        </w:rPr>
        <w:t xml:space="preserve"> B. Renal cell carcinoma. Lancet. 2009;373(9669):1119-1132. doi:10.1016/S0140-6736(09)60229-4. PMID:19269025</w:t>
      </w:r>
    </w:p>
    <w:p w14:paraId="622064CC" w14:textId="77777777" w:rsidR="004A7D55" w:rsidRPr="0015514C" w:rsidRDefault="007A4A91">
      <w:pPr>
        <w:rPr>
          <w:rFonts w:ascii="Arial" w:eastAsia="Arial" w:hAnsi="Arial" w:cs="Arial"/>
          <w:sz w:val="24"/>
          <w:szCs w:val="24"/>
          <w:lang w:val="en-US"/>
        </w:rPr>
      </w:pPr>
      <w:r w:rsidRPr="0015514C">
        <w:rPr>
          <w:rFonts w:ascii="Arial" w:eastAsia="Arial" w:hAnsi="Arial" w:cs="Arial"/>
          <w:sz w:val="24"/>
          <w:szCs w:val="24"/>
          <w:lang w:val="en-US"/>
        </w:rPr>
        <w:t xml:space="preserve">[12] Motzer RJ, Tannir NM, McDermott DF, </w:t>
      </w:r>
      <w:proofErr w:type="spellStart"/>
      <w:r w:rsidRPr="0015514C">
        <w:rPr>
          <w:rFonts w:ascii="Arial" w:eastAsia="Arial" w:hAnsi="Arial" w:cs="Arial"/>
          <w:sz w:val="24"/>
          <w:szCs w:val="24"/>
          <w:lang w:val="en-US"/>
        </w:rPr>
        <w:t>Arén</w:t>
      </w:r>
      <w:proofErr w:type="spellEnd"/>
      <w:r w:rsidRPr="0015514C">
        <w:rPr>
          <w:rFonts w:ascii="Arial" w:eastAsia="Arial" w:hAnsi="Arial" w:cs="Arial"/>
          <w:sz w:val="24"/>
          <w:szCs w:val="24"/>
          <w:lang w:val="en-US"/>
        </w:rPr>
        <w:t xml:space="preserve"> Frontera O, Melichar B, Choueiri TK, et al. </w:t>
      </w:r>
      <w:r w:rsidRPr="00FA2A20">
        <w:rPr>
          <w:rFonts w:ascii="Arial" w:eastAsia="Arial" w:hAnsi="Arial" w:cs="Arial"/>
          <w:sz w:val="24"/>
          <w:szCs w:val="24"/>
          <w:lang w:val="en-US"/>
        </w:rPr>
        <w:t xml:space="preserve">Nivolumab plus ipilimumab versus sunitinib in advanced renal-cell carcinoma. </w:t>
      </w:r>
      <w:r w:rsidRPr="0015514C">
        <w:rPr>
          <w:rFonts w:ascii="Arial" w:eastAsia="Arial" w:hAnsi="Arial" w:cs="Arial"/>
          <w:sz w:val="24"/>
          <w:szCs w:val="24"/>
          <w:lang w:val="en-US"/>
        </w:rPr>
        <w:t>N Engl J Med. 2018;378(14):1277-1290. doi:10.1056/NEJMoa1712126 PMID:29562145</w:t>
      </w:r>
    </w:p>
    <w:p w14:paraId="622064CD" w14:textId="77777777" w:rsidR="004A7D55" w:rsidRPr="0015514C" w:rsidRDefault="007A4A91">
      <w:pPr>
        <w:rPr>
          <w:rFonts w:ascii="Arial" w:eastAsia="Arial" w:hAnsi="Arial" w:cs="Arial"/>
          <w:sz w:val="24"/>
          <w:szCs w:val="24"/>
          <w:lang w:val="en-US"/>
        </w:rPr>
      </w:pPr>
      <w:r w:rsidRPr="0015514C">
        <w:rPr>
          <w:rFonts w:ascii="Arial" w:eastAsia="Arial" w:hAnsi="Arial" w:cs="Arial"/>
          <w:sz w:val="24"/>
          <w:szCs w:val="24"/>
          <w:lang w:val="en-US"/>
        </w:rPr>
        <w:t xml:space="preserve">[13] Rini BI, </w:t>
      </w:r>
      <w:proofErr w:type="spellStart"/>
      <w:r w:rsidRPr="0015514C">
        <w:rPr>
          <w:rFonts w:ascii="Arial" w:eastAsia="Arial" w:hAnsi="Arial" w:cs="Arial"/>
          <w:sz w:val="24"/>
          <w:szCs w:val="24"/>
          <w:lang w:val="en-US"/>
        </w:rPr>
        <w:t>Plimack</w:t>
      </w:r>
      <w:proofErr w:type="spellEnd"/>
      <w:r w:rsidRPr="0015514C">
        <w:rPr>
          <w:rFonts w:ascii="Arial" w:eastAsia="Arial" w:hAnsi="Arial" w:cs="Arial"/>
          <w:sz w:val="24"/>
          <w:szCs w:val="24"/>
          <w:lang w:val="en-US"/>
        </w:rPr>
        <w:t xml:space="preserve"> ER, Stus V, </w:t>
      </w:r>
      <w:proofErr w:type="spellStart"/>
      <w:r w:rsidRPr="0015514C">
        <w:rPr>
          <w:rFonts w:ascii="Arial" w:eastAsia="Arial" w:hAnsi="Arial" w:cs="Arial"/>
          <w:sz w:val="24"/>
          <w:szCs w:val="24"/>
          <w:lang w:val="en-US"/>
        </w:rPr>
        <w:t>Gafanov</w:t>
      </w:r>
      <w:proofErr w:type="spellEnd"/>
      <w:r w:rsidRPr="0015514C">
        <w:rPr>
          <w:rFonts w:ascii="Arial" w:eastAsia="Arial" w:hAnsi="Arial" w:cs="Arial"/>
          <w:sz w:val="24"/>
          <w:szCs w:val="24"/>
          <w:lang w:val="en-US"/>
        </w:rPr>
        <w:t xml:space="preserve"> R, Hawkins R, Nosov D, et al.</w:t>
      </w:r>
    </w:p>
    <w:p w14:paraId="622064CE" w14:textId="77777777" w:rsidR="004A7D55" w:rsidRPr="0015514C" w:rsidRDefault="007A4A91">
      <w:pPr>
        <w:rPr>
          <w:rFonts w:ascii="Arial" w:eastAsia="Arial" w:hAnsi="Arial" w:cs="Arial"/>
          <w:sz w:val="24"/>
          <w:szCs w:val="24"/>
          <w:lang w:val="en-US"/>
        </w:rPr>
      </w:pPr>
      <w:r w:rsidRPr="0015514C">
        <w:rPr>
          <w:rFonts w:ascii="Arial" w:eastAsia="Arial" w:hAnsi="Arial" w:cs="Arial"/>
          <w:sz w:val="24"/>
          <w:szCs w:val="24"/>
          <w:lang w:val="en-US"/>
        </w:rPr>
        <w:lastRenderedPageBreak/>
        <w:t>Pembrolizumab plus axitinib versus sunitinib for advanced renal-cell carcinoma. N Engl J Med. 2019;380(12):1116-1127. doi:10.1056/NEJMoa1816714 PMID:30779529</w:t>
      </w:r>
    </w:p>
    <w:p w14:paraId="622064CF" w14:textId="77777777" w:rsidR="004A7D55" w:rsidRPr="00D01602" w:rsidRDefault="007A4A91">
      <w:pPr>
        <w:rPr>
          <w:rFonts w:ascii="Arial" w:eastAsia="Arial" w:hAnsi="Arial" w:cs="Arial"/>
          <w:sz w:val="24"/>
          <w:szCs w:val="24"/>
          <w:lang w:val="en-US"/>
        </w:rPr>
      </w:pPr>
      <w:r w:rsidRPr="0015514C">
        <w:rPr>
          <w:rFonts w:ascii="Arial" w:eastAsia="Arial" w:hAnsi="Arial" w:cs="Arial"/>
          <w:sz w:val="24"/>
          <w:szCs w:val="24"/>
          <w:lang w:val="en-US"/>
        </w:rPr>
        <w:t xml:space="preserve">[14] Motzer RJ, Penkov K, Haanen J, Rini B, </w:t>
      </w:r>
      <w:proofErr w:type="spellStart"/>
      <w:r w:rsidRPr="0015514C">
        <w:rPr>
          <w:rFonts w:ascii="Arial" w:eastAsia="Arial" w:hAnsi="Arial" w:cs="Arial"/>
          <w:sz w:val="24"/>
          <w:szCs w:val="24"/>
          <w:lang w:val="en-US"/>
        </w:rPr>
        <w:t>Albiges</w:t>
      </w:r>
      <w:proofErr w:type="spellEnd"/>
      <w:r w:rsidRPr="0015514C">
        <w:rPr>
          <w:rFonts w:ascii="Arial" w:eastAsia="Arial" w:hAnsi="Arial" w:cs="Arial"/>
          <w:sz w:val="24"/>
          <w:szCs w:val="24"/>
          <w:lang w:val="en-US"/>
        </w:rPr>
        <w:t xml:space="preserve"> L, Campbell MT, et al. </w:t>
      </w:r>
      <w:r w:rsidRPr="00FA2A20">
        <w:rPr>
          <w:rFonts w:ascii="Arial" w:eastAsia="Arial" w:hAnsi="Arial" w:cs="Arial"/>
          <w:sz w:val="24"/>
          <w:szCs w:val="24"/>
          <w:lang w:val="en-US"/>
        </w:rPr>
        <w:t xml:space="preserve">Avelumab plus axitinib versus sunitinib for advanced renal-cell carcinoma. </w:t>
      </w:r>
      <w:r w:rsidRPr="00D01602">
        <w:rPr>
          <w:rFonts w:ascii="Arial" w:eastAsia="Arial" w:hAnsi="Arial" w:cs="Arial"/>
          <w:sz w:val="24"/>
          <w:szCs w:val="24"/>
          <w:lang w:val="en-US"/>
        </w:rPr>
        <w:t>N Engl J Med. 2019;380(12):1103-1115. doi:10.1056/NEJMoa1816047 PMID:30779531</w:t>
      </w:r>
    </w:p>
    <w:p w14:paraId="622064D0" w14:textId="77777777" w:rsidR="004A7D55" w:rsidRPr="00D01602" w:rsidRDefault="007A4A91">
      <w:pPr>
        <w:rPr>
          <w:rFonts w:ascii="Arial" w:eastAsia="Arial" w:hAnsi="Arial" w:cs="Arial"/>
          <w:sz w:val="24"/>
          <w:szCs w:val="24"/>
          <w:lang w:val="en-US"/>
        </w:rPr>
      </w:pPr>
      <w:r w:rsidRPr="00D01602">
        <w:rPr>
          <w:rFonts w:ascii="Arial" w:eastAsia="Arial" w:hAnsi="Arial" w:cs="Arial"/>
          <w:sz w:val="24"/>
          <w:szCs w:val="24"/>
          <w:lang w:val="en-US"/>
        </w:rPr>
        <w:t xml:space="preserve">[15] Choueiri TK, Powles T, </w:t>
      </w:r>
      <w:proofErr w:type="spellStart"/>
      <w:r w:rsidRPr="00D01602">
        <w:rPr>
          <w:rFonts w:ascii="Arial" w:eastAsia="Arial" w:hAnsi="Arial" w:cs="Arial"/>
          <w:sz w:val="24"/>
          <w:szCs w:val="24"/>
          <w:lang w:val="en-US"/>
        </w:rPr>
        <w:t>Burotto</w:t>
      </w:r>
      <w:proofErr w:type="spellEnd"/>
      <w:r w:rsidRPr="00D01602">
        <w:rPr>
          <w:rFonts w:ascii="Arial" w:eastAsia="Arial" w:hAnsi="Arial" w:cs="Arial"/>
          <w:sz w:val="24"/>
          <w:szCs w:val="24"/>
          <w:lang w:val="en-US"/>
        </w:rPr>
        <w:t xml:space="preserve"> M, </w:t>
      </w:r>
      <w:proofErr w:type="spellStart"/>
      <w:r w:rsidRPr="00D01602">
        <w:rPr>
          <w:rFonts w:ascii="Arial" w:eastAsia="Arial" w:hAnsi="Arial" w:cs="Arial"/>
          <w:sz w:val="24"/>
          <w:szCs w:val="24"/>
          <w:lang w:val="en-US"/>
        </w:rPr>
        <w:t>Escudier</w:t>
      </w:r>
      <w:proofErr w:type="spellEnd"/>
      <w:r w:rsidRPr="00D01602">
        <w:rPr>
          <w:rFonts w:ascii="Arial" w:eastAsia="Arial" w:hAnsi="Arial" w:cs="Arial"/>
          <w:sz w:val="24"/>
          <w:szCs w:val="24"/>
          <w:lang w:val="en-US"/>
        </w:rPr>
        <w:t xml:space="preserve"> B, </w:t>
      </w:r>
      <w:proofErr w:type="spellStart"/>
      <w:r w:rsidRPr="00D01602">
        <w:rPr>
          <w:rFonts w:ascii="Arial" w:eastAsia="Arial" w:hAnsi="Arial" w:cs="Arial"/>
          <w:sz w:val="24"/>
          <w:szCs w:val="24"/>
          <w:lang w:val="en-US"/>
        </w:rPr>
        <w:t>Bourlon</w:t>
      </w:r>
      <w:proofErr w:type="spellEnd"/>
      <w:r w:rsidRPr="00D01602">
        <w:rPr>
          <w:rFonts w:ascii="Arial" w:eastAsia="Arial" w:hAnsi="Arial" w:cs="Arial"/>
          <w:sz w:val="24"/>
          <w:szCs w:val="24"/>
          <w:lang w:val="en-US"/>
        </w:rPr>
        <w:t xml:space="preserve"> MT, Zurawski B, et al. </w:t>
      </w:r>
      <w:r w:rsidRPr="00FA2A20">
        <w:rPr>
          <w:rFonts w:ascii="Arial" w:eastAsia="Arial" w:hAnsi="Arial" w:cs="Arial"/>
          <w:sz w:val="24"/>
          <w:szCs w:val="24"/>
          <w:lang w:val="en-US"/>
        </w:rPr>
        <w:t xml:space="preserve">Nivolumab plus cabozantinib versus sunitinib for advanced renal-cell carcinoma. </w:t>
      </w:r>
      <w:r w:rsidRPr="00D01602">
        <w:rPr>
          <w:rFonts w:ascii="Arial" w:eastAsia="Arial" w:hAnsi="Arial" w:cs="Arial"/>
          <w:sz w:val="24"/>
          <w:szCs w:val="24"/>
          <w:lang w:val="en-US"/>
        </w:rPr>
        <w:t>N Engl J Med. 2021;384(9):829-841. doi:10.1056/NEJMoa2026982 PMID:33657295</w:t>
      </w:r>
    </w:p>
    <w:p w14:paraId="622064D1" w14:textId="77777777" w:rsidR="004A7D55" w:rsidRPr="00D01602" w:rsidRDefault="007A4A91">
      <w:pPr>
        <w:rPr>
          <w:rFonts w:ascii="Arial" w:eastAsia="Arial" w:hAnsi="Arial" w:cs="Arial"/>
          <w:sz w:val="24"/>
          <w:szCs w:val="24"/>
          <w:lang w:val="en-US"/>
        </w:rPr>
      </w:pPr>
      <w:r w:rsidRPr="00D01602">
        <w:rPr>
          <w:rFonts w:ascii="Arial" w:eastAsia="Arial" w:hAnsi="Arial" w:cs="Arial"/>
          <w:sz w:val="24"/>
          <w:szCs w:val="24"/>
          <w:lang w:val="en-US"/>
        </w:rPr>
        <w:t xml:space="preserve">[16] Motzer R, Alekseev B, Rha SY, Porta C, Eto M, Powles T, et al. </w:t>
      </w:r>
      <w:r w:rsidRPr="00FA2A20">
        <w:rPr>
          <w:rFonts w:ascii="Arial" w:eastAsia="Arial" w:hAnsi="Arial" w:cs="Arial"/>
          <w:sz w:val="24"/>
          <w:szCs w:val="24"/>
          <w:lang w:val="en-US"/>
        </w:rPr>
        <w:t xml:space="preserve">Lenvatinib plus pembrolizumab or everolimus for advanced renal cell carcinoma. </w:t>
      </w:r>
      <w:r w:rsidRPr="00D01602">
        <w:rPr>
          <w:rFonts w:ascii="Arial" w:eastAsia="Arial" w:hAnsi="Arial" w:cs="Arial"/>
          <w:sz w:val="24"/>
          <w:szCs w:val="24"/>
          <w:lang w:val="en-US"/>
        </w:rPr>
        <w:t>N Engl J Med. 2021;384(14):1289-1300. doi:10.1056/NEJMoa2035716 PMID:33616314</w:t>
      </w:r>
    </w:p>
    <w:p w14:paraId="622064D2" w14:textId="77777777" w:rsidR="004A7D55" w:rsidRPr="00D01602" w:rsidRDefault="007A4A91">
      <w:pPr>
        <w:rPr>
          <w:rFonts w:ascii="Arial" w:eastAsia="Arial" w:hAnsi="Arial" w:cs="Arial"/>
          <w:sz w:val="24"/>
          <w:szCs w:val="24"/>
          <w:lang w:val="en-US"/>
        </w:rPr>
      </w:pPr>
      <w:r w:rsidRPr="00D01602">
        <w:rPr>
          <w:rFonts w:ascii="Arial" w:eastAsia="Arial" w:hAnsi="Arial" w:cs="Arial"/>
          <w:sz w:val="24"/>
          <w:szCs w:val="24"/>
          <w:lang w:val="en-US"/>
        </w:rPr>
        <w:t xml:space="preserve">[17] Choueiri TK, </w:t>
      </w:r>
      <w:proofErr w:type="spellStart"/>
      <w:r w:rsidRPr="00D01602">
        <w:rPr>
          <w:rFonts w:ascii="Arial" w:eastAsia="Arial" w:hAnsi="Arial" w:cs="Arial"/>
          <w:sz w:val="24"/>
          <w:szCs w:val="24"/>
          <w:lang w:val="en-US"/>
        </w:rPr>
        <w:t>Escudier</w:t>
      </w:r>
      <w:proofErr w:type="spellEnd"/>
      <w:r w:rsidRPr="00D01602">
        <w:rPr>
          <w:rFonts w:ascii="Arial" w:eastAsia="Arial" w:hAnsi="Arial" w:cs="Arial"/>
          <w:sz w:val="24"/>
          <w:szCs w:val="24"/>
          <w:lang w:val="en-US"/>
        </w:rPr>
        <w:t xml:space="preserve"> B, Powles T, Tannir NM, Mainwaring PN, Rini BI, et al. Cabozantinib versus everolimus in advanced renal-cell carcinoma. N Engl J Med. 2015;373(19):1814-1823. doi:10.1056/NEJMoa1510016. PMID:26406150</w:t>
      </w:r>
    </w:p>
    <w:p w14:paraId="622064D3" w14:textId="77777777" w:rsidR="004A7D55" w:rsidRPr="00D01602" w:rsidRDefault="007A4A91">
      <w:pPr>
        <w:rPr>
          <w:rFonts w:ascii="Arial" w:eastAsia="Arial" w:hAnsi="Arial" w:cs="Arial"/>
          <w:sz w:val="24"/>
          <w:szCs w:val="24"/>
          <w:lang w:val="en-US"/>
        </w:rPr>
      </w:pPr>
      <w:r w:rsidRPr="00D01602">
        <w:rPr>
          <w:rFonts w:ascii="Arial" w:eastAsia="Arial" w:hAnsi="Arial" w:cs="Arial"/>
          <w:sz w:val="24"/>
          <w:szCs w:val="24"/>
          <w:lang w:val="en-US"/>
        </w:rPr>
        <w:t xml:space="preserve">[18] Choueiri TK, Bauer TM, Papadopoulos KP, </w:t>
      </w:r>
      <w:proofErr w:type="spellStart"/>
      <w:r w:rsidRPr="00D01602">
        <w:rPr>
          <w:rFonts w:ascii="Arial" w:eastAsia="Arial" w:hAnsi="Arial" w:cs="Arial"/>
          <w:sz w:val="24"/>
          <w:szCs w:val="24"/>
          <w:lang w:val="en-US"/>
        </w:rPr>
        <w:t>Plimack</w:t>
      </w:r>
      <w:proofErr w:type="spellEnd"/>
      <w:r w:rsidRPr="00D01602">
        <w:rPr>
          <w:rFonts w:ascii="Arial" w:eastAsia="Arial" w:hAnsi="Arial" w:cs="Arial"/>
          <w:sz w:val="24"/>
          <w:szCs w:val="24"/>
          <w:lang w:val="en-US"/>
        </w:rPr>
        <w:t xml:space="preserve"> ER, Merchan JR, McDermott DF, et al. </w:t>
      </w:r>
      <w:r w:rsidRPr="00FA2A20">
        <w:rPr>
          <w:rFonts w:ascii="Arial" w:eastAsia="Arial" w:hAnsi="Arial" w:cs="Arial"/>
          <w:sz w:val="24"/>
          <w:szCs w:val="24"/>
          <w:lang w:val="en-US"/>
        </w:rPr>
        <w:t>Inhibition of hypoxia-inducible factor-2</w:t>
      </w:r>
      <w:r>
        <w:rPr>
          <w:rFonts w:ascii="Arial" w:eastAsia="Arial" w:hAnsi="Arial" w:cs="Arial"/>
          <w:sz w:val="24"/>
          <w:szCs w:val="24"/>
        </w:rPr>
        <w:t>α</w:t>
      </w:r>
      <w:r w:rsidRPr="00FA2A20">
        <w:rPr>
          <w:rFonts w:ascii="Arial" w:eastAsia="Arial" w:hAnsi="Arial" w:cs="Arial"/>
          <w:sz w:val="24"/>
          <w:szCs w:val="24"/>
          <w:lang w:val="en-US"/>
        </w:rPr>
        <w:t xml:space="preserve"> in renal cell carcinoma with </w:t>
      </w:r>
      <w:proofErr w:type="spellStart"/>
      <w:r w:rsidRPr="00FA2A20">
        <w:rPr>
          <w:rFonts w:ascii="Arial" w:eastAsia="Arial" w:hAnsi="Arial" w:cs="Arial"/>
          <w:sz w:val="24"/>
          <w:szCs w:val="24"/>
          <w:lang w:val="en-US"/>
        </w:rPr>
        <w:t>belzutifan</w:t>
      </w:r>
      <w:proofErr w:type="spellEnd"/>
      <w:r w:rsidRPr="00FA2A20">
        <w:rPr>
          <w:rFonts w:ascii="Arial" w:eastAsia="Arial" w:hAnsi="Arial" w:cs="Arial"/>
          <w:sz w:val="24"/>
          <w:szCs w:val="24"/>
          <w:lang w:val="en-US"/>
        </w:rPr>
        <w:t xml:space="preserve">. </w:t>
      </w:r>
      <w:r w:rsidRPr="00D01602">
        <w:rPr>
          <w:rFonts w:ascii="Arial" w:eastAsia="Arial" w:hAnsi="Arial" w:cs="Arial"/>
          <w:sz w:val="24"/>
          <w:szCs w:val="24"/>
          <w:lang w:val="en-US"/>
        </w:rPr>
        <w:t>N Engl J Med. 2021;385(8):683-694. doi:10.1056/NEJMoa2035716. PMID:34260846</w:t>
      </w:r>
    </w:p>
    <w:p w14:paraId="622064D4" w14:textId="77777777" w:rsidR="004A7D55" w:rsidRPr="0015514C" w:rsidRDefault="007A4A91">
      <w:pPr>
        <w:rPr>
          <w:rFonts w:ascii="Arial" w:eastAsia="Arial" w:hAnsi="Arial" w:cs="Arial"/>
          <w:sz w:val="24"/>
          <w:szCs w:val="24"/>
          <w:lang w:val="en-US"/>
        </w:rPr>
      </w:pPr>
      <w:r w:rsidRPr="00D01602">
        <w:rPr>
          <w:rFonts w:ascii="Arial" w:eastAsia="Arial" w:hAnsi="Arial" w:cs="Arial"/>
          <w:sz w:val="24"/>
          <w:szCs w:val="24"/>
          <w:lang w:val="en-US"/>
        </w:rPr>
        <w:t xml:space="preserve">[19] Motzer RJ, Choueiri TK, Powles T, </w:t>
      </w:r>
      <w:proofErr w:type="spellStart"/>
      <w:r w:rsidRPr="00D01602">
        <w:rPr>
          <w:rFonts w:ascii="Arial" w:eastAsia="Arial" w:hAnsi="Arial" w:cs="Arial"/>
          <w:sz w:val="24"/>
          <w:szCs w:val="24"/>
          <w:lang w:val="en-US"/>
        </w:rPr>
        <w:t>Burotto</w:t>
      </w:r>
      <w:proofErr w:type="spellEnd"/>
      <w:r w:rsidRPr="00D01602">
        <w:rPr>
          <w:rFonts w:ascii="Arial" w:eastAsia="Arial" w:hAnsi="Arial" w:cs="Arial"/>
          <w:sz w:val="24"/>
          <w:szCs w:val="24"/>
          <w:lang w:val="en-US"/>
        </w:rPr>
        <w:t xml:space="preserve"> M, </w:t>
      </w:r>
      <w:proofErr w:type="spellStart"/>
      <w:r w:rsidRPr="00D01602">
        <w:rPr>
          <w:rFonts w:ascii="Arial" w:eastAsia="Arial" w:hAnsi="Arial" w:cs="Arial"/>
          <w:sz w:val="24"/>
          <w:szCs w:val="24"/>
          <w:lang w:val="en-US"/>
        </w:rPr>
        <w:t>Escudier</w:t>
      </w:r>
      <w:proofErr w:type="spellEnd"/>
      <w:r w:rsidRPr="00D01602">
        <w:rPr>
          <w:rFonts w:ascii="Arial" w:eastAsia="Arial" w:hAnsi="Arial" w:cs="Arial"/>
          <w:sz w:val="24"/>
          <w:szCs w:val="24"/>
          <w:lang w:val="en-US"/>
        </w:rPr>
        <w:t xml:space="preserve"> B, </w:t>
      </w:r>
      <w:proofErr w:type="spellStart"/>
      <w:r w:rsidRPr="00D01602">
        <w:rPr>
          <w:rFonts w:ascii="Arial" w:eastAsia="Arial" w:hAnsi="Arial" w:cs="Arial"/>
          <w:sz w:val="24"/>
          <w:szCs w:val="24"/>
          <w:lang w:val="en-US"/>
        </w:rPr>
        <w:t>Bourlon</w:t>
      </w:r>
      <w:proofErr w:type="spellEnd"/>
      <w:r w:rsidRPr="00D01602">
        <w:rPr>
          <w:rFonts w:ascii="Arial" w:eastAsia="Arial" w:hAnsi="Arial" w:cs="Arial"/>
          <w:sz w:val="24"/>
          <w:szCs w:val="24"/>
          <w:lang w:val="en-US"/>
        </w:rPr>
        <w:t xml:space="preserve"> MT, et al. </w:t>
      </w:r>
      <w:r w:rsidRPr="00FA2A20">
        <w:rPr>
          <w:rFonts w:ascii="Arial" w:eastAsia="Arial" w:hAnsi="Arial" w:cs="Arial"/>
          <w:sz w:val="24"/>
          <w:szCs w:val="24"/>
          <w:lang w:val="en-US"/>
        </w:rPr>
        <w:t xml:space="preserve">Nivolumab plus cabozantinib versus sunitinib for advanced renal-cell carcinoma: long-term follow-up of </w:t>
      </w:r>
      <w:proofErr w:type="spellStart"/>
      <w:r w:rsidRPr="00FA2A20">
        <w:rPr>
          <w:rFonts w:ascii="Arial" w:eastAsia="Arial" w:hAnsi="Arial" w:cs="Arial"/>
          <w:sz w:val="24"/>
          <w:szCs w:val="24"/>
          <w:lang w:val="en-US"/>
        </w:rPr>
        <w:t>CheckMate</w:t>
      </w:r>
      <w:proofErr w:type="spellEnd"/>
      <w:r w:rsidRPr="00FA2A20">
        <w:rPr>
          <w:rFonts w:ascii="Arial" w:eastAsia="Arial" w:hAnsi="Arial" w:cs="Arial"/>
          <w:sz w:val="24"/>
          <w:szCs w:val="24"/>
          <w:lang w:val="en-US"/>
        </w:rPr>
        <w:t xml:space="preserve"> 9ER. </w:t>
      </w:r>
      <w:r w:rsidRPr="0015514C">
        <w:rPr>
          <w:rFonts w:ascii="Arial" w:eastAsia="Arial" w:hAnsi="Arial" w:cs="Arial"/>
          <w:sz w:val="24"/>
          <w:szCs w:val="24"/>
          <w:lang w:val="en-US"/>
        </w:rPr>
        <w:t>Lancet Oncol. 2022;23(7):888-898. doi:10.1016/S1470-2045(22)00260-4 PMID:35623339</w:t>
      </w:r>
    </w:p>
    <w:p w14:paraId="622064D5" w14:textId="77777777" w:rsidR="004A7D55" w:rsidRDefault="007A4A91">
      <w:pPr>
        <w:rPr>
          <w:rFonts w:ascii="Arial" w:eastAsia="Arial" w:hAnsi="Arial" w:cs="Arial"/>
          <w:sz w:val="24"/>
          <w:szCs w:val="24"/>
        </w:rPr>
      </w:pPr>
      <w:r w:rsidRPr="0015514C">
        <w:rPr>
          <w:rFonts w:ascii="Arial" w:eastAsia="Arial" w:hAnsi="Arial" w:cs="Arial"/>
          <w:sz w:val="24"/>
          <w:szCs w:val="24"/>
          <w:lang w:val="en-US"/>
        </w:rPr>
        <w:t xml:space="preserve">[20] Ricketts CJ, De Cubas AA, Fan H, Smith CC, Lang M, Reznik E, et al. The cancer genome atlas comprehensive molecular characterization of renal cell carcinoma. </w:t>
      </w:r>
      <w:r>
        <w:rPr>
          <w:rFonts w:ascii="Arial" w:eastAsia="Arial" w:hAnsi="Arial" w:cs="Arial"/>
          <w:sz w:val="24"/>
          <w:szCs w:val="24"/>
        </w:rPr>
        <w:t xml:space="preserve">Cell Rep. 2018;23(1):313-326. </w:t>
      </w:r>
      <w:proofErr w:type="gramStart"/>
      <w:r>
        <w:rPr>
          <w:rFonts w:ascii="Arial" w:eastAsia="Arial" w:hAnsi="Arial" w:cs="Arial"/>
          <w:sz w:val="24"/>
          <w:szCs w:val="24"/>
        </w:rPr>
        <w:t>doi:10.1016/j.celrep</w:t>
      </w:r>
      <w:proofErr w:type="gramEnd"/>
      <w:r>
        <w:rPr>
          <w:rFonts w:ascii="Arial" w:eastAsia="Arial" w:hAnsi="Arial" w:cs="Arial"/>
          <w:sz w:val="24"/>
          <w:szCs w:val="24"/>
        </w:rPr>
        <w:t>.2018.03.075. PMID:29617669</w:t>
      </w:r>
    </w:p>
    <w:sectPr w:rsidR="004A7D5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700777AA-E6AE-4A00-9923-4DAE78D67563}"/>
    <w:embedItalic r:id="rId2" w:fontKey="{347E80DF-F525-4AC3-BC47-3EC9EE8227FE}"/>
  </w:font>
  <w:font w:name="Play">
    <w:charset w:val="00"/>
    <w:family w:val="auto"/>
    <w:pitch w:val="default"/>
    <w:embedRegular r:id="rId3" w:fontKey="{56CE9178-2E9C-4015-9BAE-F1130DBDABE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4" w:fontKey="{2D975D15-37EA-4DA4-B273-030F0951DF47}"/>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5" w:fontKey="{5C6D278C-6262-4EC6-AF4E-CEE16F6DE81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C2896"/>
    <w:multiLevelType w:val="multilevel"/>
    <w:tmpl w:val="52421D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216048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D55"/>
    <w:rsid w:val="000359D2"/>
    <w:rsid w:val="0015514C"/>
    <w:rsid w:val="004A7D55"/>
    <w:rsid w:val="006E5A0A"/>
    <w:rsid w:val="00732D33"/>
    <w:rsid w:val="007A4A91"/>
    <w:rsid w:val="008C4660"/>
    <w:rsid w:val="008D3AB2"/>
    <w:rsid w:val="009062E4"/>
    <w:rsid w:val="00AA7BB1"/>
    <w:rsid w:val="00AB67F1"/>
    <w:rsid w:val="00AC4757"/>
    <w:rsid w:val="00CD2FBC"/>
    <w:rsid w:val="00D01602"/>
    <w:rsid w:val="00D87CBD"/>
    <w:rsid w:val="00EF3DE7"/>
    <w:rsid w:val="00F233D4"/>
    <w:rsid w:val="00F701E4"/>
    <w:rsid w:val="00FA2A2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06342"/>
  <w15:docId w15:val="{9E95B4C8-CE38-48F3-B3A3-242F75C95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s-AR" w:eastAsia="es-A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paragraph" w:styleId="Ttulo7">
    <w:name w:val="heading 7"/>
    <w:basedOn w:val="Normal"/>
    <w:next w:val="Normal"/>
    <w:link w:val="Ttulo7Car"/>
    <w:uiPriority w:val="9"/>
    <w:semiHidden/>
    <w:unhideWhenUsed/>
    <w:qFormat/>
    <w:rsid w:val="000C7F3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C7F3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C7F3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character" w:customStyle="1" w:styleId="Ttulo1Car">
    <w:name w:val="Título 1 Car"/>
    <w:basedOn w:val="Fuentedeprrafopredeter"/>
    <w:uiPriority w:val="9"/>
    <w:rsid w:val="000C7F3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0C7F3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0C7F35"/>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0C7F35"/>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0C7F35"/>
    <w:rPr>
      <w:rFonts w:eastAsiaTheme="majorEastAsia" w:cstheme="majorBidi"/>
      <w:color w:val="0F4761" w:themeColor="accent1" w:themeShade="BF"/>
    </w:rPr>
  </w:style>
  <w:style w:type="character" w:customStyle="1" w:styleId="Ttulo6Car">
    <w:name w:val="Título 6 Car"/>
    <w:basedOn w:val="Fuentedeprrafopredeter"/>
    <w:uiPriority w:val="9"/>
    <w:semiHidden/>
    <w:rsid w:val="000C7F3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C7F3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C7F3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C7F35"/>
    <w:rPr>
      <w:rFonts w:eastAsiaTheme="majorEastAsia" w:cstheme="majorBidi"/>
      <w:color w:val="272727" w:themeColor="text1" w:themeTint="D8"/>
    </w:rPr>
  </w:style>
  <w:style w:type="character" w:customStyle="1" w:styleId="TtuloCar">
    <w:name w:val="Título Car"/>
    <w:basedOn w:val="Fuentedeprrafopredeter"/>
    <w:uiPriority w:val="10"/>
    <w:rsid w:val="000C7F35"/>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0C7F3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C7F35"/>
    <w:pPr>
      <w:spacing w:before="160"/>
      <w:jc w:val="center"/>
    </w:pPr>
    <w:rPr>
      <w:i/>
      <w:iCs/>
      <w:color w:val="404040" w:themeColor="text1" w:themeTint="BF"/>
    </w:rPr>
  </w:style>
  <w:style w:type="character" w:customStyle="1" w:styleId="CitaCar">
    <w:name w:val="Cita Car"/>
    <w:basedOn w:val="Fuentedeprrafopredeter"/>
    <w:link w:val="Cita"/>
    <w:uiPriority w:val="29"/>
    <w:rsid w:val="000C7F35"/>
    <w:rPr>
      <w:i/>
      <w:iCs/>
      <w:color w:val="404040" w:themeColor="text1" w:themeTint="BF"/>
    </w:rPr>
  </w:style>
  <w:style w:type="paragraph" w:styleId="Prrafodelista">
    <w:name w:val="List Paragraph"/>
    <w:basedOn w:val="Normal"/>
    <w:uiPriority w:val="34"/>
    <w:qFormat/>
    <w:rsid w:val="000C7F35"/>
    <w:pPr>
      <w:ind w:left="720"/>
      <w:contextualSpacing/>
    </w:pPr>
  </w:style>
  <w:style w:type="character" w:styleId="nfasisintenso">
    <w:name w:val="Intense Emphasis"/>
    <w:basedOn w:val="Fuentedeprrafopredeter"/>
    <w:uiPriority w:val="21"/>
    <w:qFormat/>
    <w:rsid w:val="000C7F35"/>
    <w:rPr>
      <w:i/>
      <w:iCs/>
      <w:color w:val="0F4761" w:themeColor="accent1" w:themeShade="BF"/>
    </w:rPr>
  </w:style>
  <w:style w:type="paragraph" w:styleId="Citadestacada">
    <w:name w:val="Intense Quote"/>
    <w:basedOn w:val="Normal"/>
    <w:next w:val="Normal"/>
    <w:link w:val="CitadestacadaCar"/>
    <w:uiPriority w:val="30"/>
    <w:qFormat/>
    <w:rsid w:val="000C7F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C7F35"/>
    <w:rPr>
      <w:i/>
      <w:iCs/>
      <w:color w:val="0F4761" w:themeColor="accent1" w:themeShade="BF"/>
    </w:rPr>
  </w:style>
  <w:style w:type="character" w:styleId="Referenciaintensa">
    <w:name w:val="Intense Reference"/>
    <w:basedOn w:val="Fuentedeprrafopredeter"/>
    <w:uiPriority w:val="32"/>
    <w:qFormat/>
    <w:rsid w:val="000C7F35"/>
    <w:rPr>
      <w:b/>
      <w:bCs/>
      <w:smallCaps/>
      <w:color w:val="0F4761" w:themeColor="accent1" w:themeShade="BF"/>
      <w:spacing w:val="5"/>
    </w:rPr>
  </w:style>
  <w:style w:type="character" w:styleId="Hipervnculo">
    <w:name w:val="Hyperlink"/>
    <w:basedOn w:val="Fuentedeprrafopredeter"/>
    <w:uiPriority w:val="99"/>
    <w:unhideWhenUsed/>
    <w:rsid w:val="00B52602"/>
    <w:rPr>
      <w:color w:val="467886" w:themeColor="hyperlink"/>
      <w:u w:val="single"/>
    </w:rPr>
  </w:style>
  <w:style w:type="character" w:styleId="Mencinsinresolver">
    <w:name w:val="Unresolved Mention"/>
    <w:basedOn w:val="Fuentedeprrafopredeter"/>
    <w:uiPriority w:val="99"/>
    <w:semiHidden/>
    <w:unhideWhenUsed/>
    <w:rsid w:val="00B52602"/>
    <w:rPr>
      <w:color w:val="605E5C"/>
      <w:shd w:val="clear" w:color="auto" w:fill="E1DFDD"/>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Jd0liOV4C8liysLqalgOn/yWUQ==">CgMxLjA4AHIhMUl6WHZyaEJyTjlqN0Zqek44d3FQeFFPMFR2X2RFNmFj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17</Pages>
  <Words>4356</Words>
  <Characters>23959</Characters>
  <Application>Microsoft Office Word</Application>
  <DocSecurity>0</DocSecurity>
  <Lines>199</Lines>
  <Paragraphs>56</Paragraphs>
  <ScaleCrop>false</ScaleCrop>
  <Company/>
  <LinksUpToDate>false</LinksUpToDate>
  <CharactersWithSpaces>28259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sebastian jaurretche</dc:creator>
  <cp:lastModifiedBy>sebastian jaurretche</cp:lastModifiedBy>
  <cp:revision>17</cp:revision>
  <dcterms:created xsi:type="dcterms:W3CDTF">2026-03-12T23:59:00Z</dcterms:created>
  <dcterms:modified xsi:type="dcterms:W3CDTF">2026-07-05T13:33:00Z</dcterms:modified>
</cp:coreProperties>
</file>